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D5D8" w14:textId="0D64FD24" w:rsidR="007357CE" w:rsidRDefault="007357CE" w:rsidP="00DE7F54">
      <w:pPr>
        <w:pStyle w:val="Tytu"/>
        <w:spacing w:before="360"/>
        <w:jc w:val="center"/>
      </w:pPr>
      <w:r>
        <w:t>FORMULARZ OPISU KRYTERIUM</w:t>
      </w:r>
    </w:p>
    <w:p w14:paraId="706194E3" w14:textId="77777777" w:rsidR="009A387A" w:rsidRDefault="009A387A" w:rsidP="009A387A"/>
    <w:p w14:paraId="76500A9E" w14:textId="4CD05BE1" w:rsidR="009A387A" w:rsidRPr="00F64AE2" w:rsidRDefault="009A387A" w:rsidP="009A387A">
      <w:pPr>
        <w:rPr>
          <w:i/>
          <w:sz w:val="18"/>
        </w:rPr>
      </w:pPr>
      <w:r w:rsidRPr="00F64AE2">
        <w:rPr>
          <w:i/>
          <w:sz w:val="18"/>
        </w:rPr>
        <w:t>UWAGA!</w:t>
      </w:r>
    </w:p>
    <w:p w14:paraId="5B6D2F53" w14:textId="311B4905" w:rsidR="009A387A" w:rsidRPr="00F64AE2" w:rsidRDefault="009A387A" w:rsidP="00DE7F54">
      <w:pPr>
        <w:jc w:val="both"/>
        <w:rPr>
          <w:i/>
          <w:sz w:val="18"/>
        </w:rPr>
      </w:pPr>
      <w:r w:rsidRPr="00F64AE2">
        <w:rPr>
          <w:i/>
          <w:sz w:val="18"/>
        </w:rPr>
        <w:t>Przyjęto zasadę, że każde z kryteriów otrzymuje liczbę punktów od 0-100. Znaczenie kryterium w ocenie ofert jest określane przez jego wagę procentową. Przyjęcie takiej zasady jest konieczne, gdyż umożliwia stosowanie w jednym postępowaniu kryteriów zaproponowanych przez różne osoby. W</w:t>
      </w:r>
      <w:r w:rsidR="00A53EDB" w:rsidRPr="00F64AE2">
        <w:rPr>
          <w:i/>
          <w:sz w:val="18"/>
        </w:rPr>
        <w:t> </w:t>
      </w:r>
      <w:r w:rsidRPr="00F64AE2">
        <w:rPr>
          <w:i/>
          <w:sz w:val="18"/>
        </w:rPr>
        <w:t>związku z tym należy zwracać uwagę na różne znaczenie pojęć liczba punktów i waga.</w:t>
      </w:r>
    </w:p>
    <w:p w14:paraId="0643B08F" w14:textId="4EC1BA95" w:rsidR="00224245" w:rsidRPr="00BB0508" w:rsidRDefault="007B20B0" w:rsidP="00BB0508">
      <w:pPr>
        <w:pStyle w:val="Nagwek2"/>
      </w:pPr>
      <w:r w:rsidRPr="00BB0508">
        <w:t>Nazwa</w:t>
      </w:r>
      <w:r w:rsidR="00224245" w:rsidRPr="00BB0508">
        <w:t xml:space="preserve"> kryterium</w:t>
      </w:r>
    </w:p>
    <w:p w14:paraId="4DE12A8F" w14:textId="3C6C5BC4" w:rsidR="00B85A99" w:rsidRDefault="00B85A99" w:rsidP="00CA6581">
      <w:pPr>
        <w:spacing w:after="0"/>
        <w:rPr>
          <w:rStyle w:val="Wyrnieniedelikatne"/>
        </w:rPr>
      </w:pPr>
      <w:r w:rsidRPr="00CA6581">
        <w:rPr>
          <w:rStyle w:val="Wyrnieniedelikatne"/>
        </w:rPr>
        <w:t>Krótka nazwa kryterium</w:t>
      </w:r>
    </w:p>
    <w:p w14:paraId="24094FC3" w14:textId="1445B25A" w:rsidR="00DE7F54" w:rsidRPr="00CA6581" w:rsidRDefault="00DE7F54" w:rsidP="00CA6581">
      <w:pPr>
        <w:spacing w:after="0"/>
        <w:rPr>
          <w:rStyle w:val="Wyrnieniedelikatne"/>
        </w:rPr>
      </w:pPr>
      <w:r w:rsidRPr="00F76D75">
        <w:rPr>
          <w:rStyle w:val="Wyrnienieintensywne"/>
          <w:b/>
          <w:color w:val="auto"/>
          <w:sz w:val="28"/>
          <w:u w:val="single"/>
        </w:rPr>
        <w:t>Wydajność obliczeniowa urządzenia</w:t>
      </w:r>
    </w:p>
    <w:p w14:paraId="6DD91E4F" w14:textId="6C280E96" w:rsidR="00224245" w:rsidRDefault="00224245" w:rsidP="00BB0508">
      <w:pPr>
        <w:pStyle w:val="Nagwek2"/>
      </w:pPr>
      <w:r>
        <w:t>Zastosowanie kryterium</w:t>
      </w:r>
    </w:p>
    <w:p w14:paraId="6E53CE1C" w14:textId="60772AFB" w:rsidR="004C5B25" w:rsidRPr="00CA6581" w:rsidRDefault="00B85A99" w:rsidP="00B85A99">
      <w:pPr>
        <w:rPr>
          <w:rStyle w:val="Wyrnieniedelikatne"/>
        </w:rPr>
      </w:pPr>
      <w:r w:rsidRPr="00CA6581">
        <w:rPr>
          <w:rStyle w:val="Wyrnieniedelikatne"/>
        </w:rPr>
        <w:t>Określenie przedmiotów zamówienia, do których kryterium ma zastosowanie, oraz kategorii, do której zalicza się dane kryterium, zgodnie z propozycją przedstawioną w tabeli.</w:t>
      </w:r>
    </w:p>
    <w:p w14:paraId="7C029E46" w14:textId="155E1F6F" w:rsidR="00CA6581" w:rsidRDefault="00CA6581" w:rsidP="00BB0508">
      <w:pPr>
        <w:pStyle w:val="Nagwek3"/>
        <w:rPr>
          <w:i/>
          <w:sz w:val="18"/>
        </w:rPr>
      </w:pPr>
      <w:r w:rsidRPr="00F76D75">
        <w:rPr>
          <w:i/>
          <w:sz w:val="18"/>
        </w:rPr>
        <w:t>Przedmioty zamówienia (Sprzęt ICT, gotowe oprogramowanie, system</w:t>
      </w:r>
      <w:r w:rsidR="00036FD7" w:rsidRPr="00F76D75">
        <w:rPr>
          <w:i/>
          <w:sz w:val="18"/>
        </w:rPr>
        <w:t xml:space="preserve"> informatyczny</w:t>
      </w:r>
      <w:r w:rsidRPr="00F76D75">
        <w:rPr>
          <w:i/>
          <w:sz w:val="18"/>
        </w:rPr>
        <w:t xml:space="preserve"> itp.)</w:t>
      </w:r>
    </w:p>
    <w:p w14:paraId="56E898FC" w14:textId="26D7C0B3" w:rsidR="00DE7F54" w:rsidRPr="00116C0C" w:rsidRDefault="00DE7F54" w:rsidP="00DE7F54">
      <w:pPr>
        <w:ind w:left="360"/>
        <w:rPr>
          <w:b/>
          <w:sz w:val="24"/>
        </w:rPr>
      </w:pPr>
      <w:r w:rsidRPr="00116C0C">
        <w:rPr>
          <w:rStyle w:val="Wyrnienieintensywne"/>
          <w:b/>
          <w:color w:val="auto"/>
          <w:sz w:val="24"/>
        </w:rPr>
        <w:t>PC, AiO, Notebooki, Ultrabooki</w:t>
      </w:r>
    </w:p>
    <w:p w14:paraId="5C8FD2B4" w14:textId="4851A072" w:rsidR="00CA6581" w:rsidRDefault="00CA6581" w:rsidP="00BB0508">
      <w:pPr>
        <w:pStyle w:val="Nagwek3"/>
        <w:rPr>
          <w:i/>
          <w:sz w:val="18"/>
        </w:rPr>
      </w:pPr>
      <w:r w:rsidRPr="00F76D75">
        <w:rPr>
          <w:i/>
          <w:sz w:val="18"/>
        </w:rPr>
        <w:t>Kategoria kryterium (parametr techniczny, funkcja</w:t>
      </w:r>
      <w:r w:rsidR="00A53EDB" w:rsidRPr="00F76D75">
        <w:rPr>
          <w:i/>
          <w:sz w:val="18"/>
        </w:rPr>
        <w:t xml:space="preserve"> realizowana przez oprogramowanie</w:t>
      </w:r>
      <w:r w:rsidRPr="00F76D75">
        <w:rPr>
          <w:i/>
          <w:sz w:val="18"/>
        </w:rPr>
        <w:t>, kwalifikacje zawodowe, metodologia</w:t>
      </w:r>
      <w:r w:rsidR="00A53EDB" w:rsidRPr="00F76D75">
        <w:rPr>
          <w:i/>
          <w:sz w:val="18"/>
        </w:rPr>
        <w:t xml:space="preserve"> projektu</w:t>
      </w:r>
      <w:r w:rsidRPr="00F76D75">
        <w:rPr>
          <w:i/>
          <w:sz w:val="18"/>
        </w:rPr>
        <w:t xml:space="preserve"> itp.)</w:t>
      </w:r>
    </w:p>
    <w:p w14:paraId="7E8504AF" w14:textId="5011B485" w:rsidR="00DE7F54" w:rsidRPr="00DE7F54" w:rsidRDefault="00DE7F54" w:rsidP="00DE7F54">
      <w:pPr>
        <w:ind w:left="360"/>
      </w:pPr>
      <w:r w:rsidRPr="007F065E">
        <w:rPr>
          <w:rStyle w:val="Wyrnienieintensywne"/>
          <w:color w:val="auto"/>
        </w:rPr>
        <w:t>Parametr techniczny</w:t>
      </w:r>
    </w:p>
    <w:p w14:paraId="5C4ED455" w14:textId="453CC551" w:rsidR="008F370C" w:rsidRDefault="008F370C" w:rsidP="00722A29">
      <w:pPr>
        <w:pStyle w:val="Nagwek2"/>
      </w:pPr>
      <w:r>
        <w:t>Charakter kryterium</w:t>
      </w:r>
    </w:p>
    <w:p w14:paraId="699BD1F8" w14:textId="29372DC4" w:rsidR="00DE7F54" w:rsidRDefault="00DE7F54" w:rsidP="00DE7F54">
      <w:pPr>
        <w:rPr>
          <w:rStyle w:val="Wyrnienieintensywne"/>
          <w:color w:val="auto"/>
        </w:rPr>
      </w:pPr>
      <w:r w:rsidRPr="007F065E">
        <w:rPr>
          <w:rStyle w:val="Wyrnienieintensywne"/>
          <w:color w:val="auto"/>
        </w:rPr>
        <w:t>Kryterium z liczbą punktów określaną na podstawie wzoru</w:t>
      </w:r>
    </w:p>
    <w:p w14:paraId="3DAED415" w14:textId="02D94CE5" w:rsidR="008F370C" w:rsidRDefault="008F370C" w:rsidP="00722A29">
      <w:pPr>
        <w:pStyle w:val="Nagwek2"/>
      </w:pPr>
      <w:r>
        <w:t>Opis kryterium</w:t>
      </w:r>
    </w:p>
    <w:p w14:paraId="66EC8C2E" w14:textId="2FB98E07" w:rsidR="008F370C" w:rsidRPr="008324FC" w:rsidRDefault="008324FC" w:rsidP="00513EEE">
      <w:pPr>
        <w:jc w:val="both"/>
        <w:rPr>
          <w:rStyle w:val="Wyrnieniedelikatne"/>
        </w:rPr>
      </w:pPr>
      <w:r w:rsidRPr="008324FC">
        <w:rPr>
          <w:rStyle w:val="Wyrnieniedelikatne"/>
        </w:rPr>
        <w:t>Szczegółowy opis kryterium. W przypadku kryteriów z określoną liczbą punktów za daną cech</w:t>
      </w:r>
      <w:r>
        <w:rPr>
          <w:rStyle w:val="Wyrnieniedelikatne"/>
        </w:rPr>
        <w:t>ę konieczne jest podanie</w:t>
      </w:r>
      <w:r w:rsidR="00A53EDB">
        <w:rPr>
          <w:rStyle w:val="Wyrnieniedelikatne"/>
        </w:rPr>
        <w:t xml:space="preserve"> tych</w:t>
      </w:r>
      <w:r>
        <w:rPr>
          <w:rStyle w:val="Wyrnieniedelikatne"/>
        </w:rPr>
        <w:t xml:space="preserve"> cech oraz</w:t>
      </w:r>
      <w:r w:rsidRPr="008324FC">
        <w:rPr>
          <w:rStyle w:val="Wyrnieniedelikatne"/>
        </w:rPr>
        <w:t xml:space="preserve"> liczby przyznawanych punktów (np.: liczba zrealizowanych projektów – 1</w:t>
      </w:r>
      <w:r w:rsidR="00A53EDB">
        <w:rPr>
          <w:rStyle w:val="Wyrnieniedelikatne"/>
        </w:rPr>
        <w:t xml:space="preserve"> projekt</w:t>
      </w:r>
      <w:r w:rsidRPr="008324FC">
        <w:rPr>
          <w:rStyle w:val="Wyrnieniedelikatne"/>
        </w:rPr>
        <w:t xml:space="preserve"> – 30 pkt, 2</w:t>
      </w:r>
      <w:r w:rsidR="00A53EDB">
        <w:rPr>
          <w:rStyle w:val="Wyrnieniedelikatne"/>
        </w:rPr>
        <w:t xml:space="preserve"> projekty</w:t>
      </w:r>
      <w:r w:rsidRPr="008324FC">
        <w:rPr>
          <w:rStyle w:val="Wyrnieniedelikatne"/>
        </w:rPr>
        <w:t xml:space="preserve"> – 60 pkt</w:t>
      </w:r>
      <w:r w:rsidR="00A53EDB">
        <w:rPr>
          <w:rStyle w:val="Wyrnieniedelikatne"/>
        </w:rPr>
        <w:t>,</w:t>
      </w:r>
      <w:r w:rsidRPr="008324FC">
        <w:rPr>
          <w:rStyle w:val="Wyrnieniedelikatne"/>
        </w:rPr>
        <w:t xml:space="preserve"> 3 i</w:t>
      </w:r>
      <w:r w:rsidR="00513EEE">
        <w:rPr>
          <w:rStyle w:val="Wyrnieniedelikatne"/>
        </w:rPr>
        <w:t> </w:t>
      </w:r>
      <w:r w:rsidRPr="008324FC">
        <w:rPr>
          <w:rStyle w:val="Wyrnieniedelikatne"/>
        </w:rPr>
        <w:t>więcej</w:t>
      </w:r>
      <w:r w:rsidR="00A53EDB">
        <w:rPr>
          <w:rStyle w:val="Wyrnieniedelikatne"/>
        </w:rPr>
        <w:t xml:space="preserve"> projektów</w:t>
      </w:r>
      <w:r w:rsidRPr="008324FC">
        <w:rPr>
          <w:rStyle w:val="Wyrnieniedelikatne"/>
        </w:rPr>
        <w:t xml:space="preserve"> – 100 pkt)</w:t>
      </w:r>
    </w:p>
    <w:p w14:paraId="604D8811" w14:textId="7F15D898" w:rsidR="00B35696" w:rsidRDefault="00B35696" w:rsidP="00B35696">
      <w:pPr>
        <w:spacing w:after="0"/>
        <w:jc w:val="both"/>
        <w:rPr>
          <w:rStyle w:val="Wyrnienieintensywne"/>
          <w:color w:val="auto"/>
        </w:rPr>
      </w:pPr>
      <w:r w:rsidRPr="007F065E">
        <w:rPr>
          <w:rStyle w:val="Wyrnienieintensywne"/>
          <w:color w:val="auto"/>
        </w:rPr>
        <w:t>Kryterium ma na celu zakup urządzeń</w:t>
      </w:r>
      <w:r>
        <w:rPr>
          <w:rStyle w:val="Wyrnienieintensywne"/>
          <w:color w:val="auto"/>
        </w:rPr>
        <w:t xml:space="preserve"> do typowych zastosowań biurowych</w:t>
      </w:r>
      <w:r w:rsidRPr="007F065E">
        <w:rPr>
          <w:rStyle w:val="Wyrnienieintensywne"/>
          <w:color w:val="auto"/>
        </w:rPr>
        <w:t xml:space="preserve">, które przy tej samej cenie zapewniają wyższą wydajność obliczeniową. Miarą wydajności jest wynik </w:t>
      </w:r>
      <w:r>
        <w:rPr>
          <w:rStyle w:val="Wyrnienieintensywne"/>
          <w:color w:val="auto"/>
        </w:rPr>
        <w:t xml:space="preserve">odpowiedniego </w:t>
      </w:r>
      <w:r w:rsidRPr="007F065E">
        <w:rPr>
          <w:rStyle w:val="Wyrnienieintensywne"/>
          <w:color w:val="auto"/>
        </w:rPr>
        <w:t xml:space="preserve">testu aplikacyjnego </w:t>
      </w:r>
      <w:r w:rsidRPr="00A36B88">
        <w:rPr>
          <w:rStyle w:val="Wyrnienieintensywne"/>
          <w:color w:val="auto"/>
        </w:rPr>
        <w:t>BAPC</w:t>
      </w:r>
      <w:r>
        <w:rPr>
          <w:rStyle w:val="Wyrnienieintensywne"/>
          <w:color w:val="auto"/>
        </w:rPr>
        <w:t>o®</w:t>
      </w:r>
      <w:r w:rsidRPr="007F065E">
        <w:rPr>
          <w:rStyle w:val="Wyrnienieintensywne"/>
          <w:color w:val="auto"/>
        </w:rPr>
        <w:t xml:space="preserve"> uzyskanego przez dane urządzenie.</w:t>
      </w:r>
      <w:r>
        <w:rPr>
          <w:rStyle w:val="Wyrnienieintensywne"/>
          <w:color w:val="auto"/>
        </w:rPr>
        <w:t xml:space="preserve"> W przypadku urządzeń stacjonarnych zaleca się zastosowanie testu </w:t>
      </w:r>
      <w:r w:rsidRPr="004C54B7">
        <w:rPr>
          <w:rStyle w:val="Wyrnienieintensywne"/>
          <w:color w:val="auto"/>
        </w:rPr>
        <w:t>SYSmark® 2014 SE</w:t>
      </w:r>
      <w:r>
        <w:rPr>
          <w:rStyle w:val="Wyrnienieintensywne"/>
          <w:color w:val="auto"/>
        </w:rPr>
        <w:t xml:space="preserve">, a w przypadku pozostałych urządzeń mobilnych – testu </w:t>
      </w:r>
      <w:r w:rsidRPr="005146DC">
        <w:rPr>
          <w:rStyle w:val="Wyrnienieintensywne"/>
          <w:color w:val="auto"/>
        </w:rPr>
        <w:t>MobileMark® 2014</w:t>
      </w:r>
      <w:r>
        <w:rPr>
          <w:rStyle w:val="Wyrnienieintensywne"/>
          <w:color w:val="auto"/>
        </w:rPr>
        <w:t xml:space="preserve"> </w:t>
      </w:r>
      <w:r w:rsidR="00863A1A">
        <w:rPr>
          <w:rStyle w:val="Wyrnienieintensywne"/>
          <w:color w:val="auto"/>
        </w:rPr>
        <w:t xml:space="preserve">do oceny czasu pracy na baterii i  </w:t>
      </w:r>
      <w:r w:rsidRPr="004C54B7">
        <w:rPr>
          <w:rStyle w:val="Wyrnienieintensywne"/>
          <w:color w:val="auto"/>
        </w:rPr>
        <w:t>SYSmark® 2014 SE</w:t>
      </w:r>
      <w:r w:rsidR="00863A1A">
        <w:rPr>
          <w:rStyle w:val="Wyrnienieintensywne"/>
          <w:color w:val="auto"/>
        </w:rPr>
        <w:t xml:space="preserve"> do oceny wydajności</w:t>
      </w:r>
      <w:r>
        <w:rPr>
          <w:rStyle w:val="Wyrnienieintensywne"/>
          <w:color w:val="auto"/>
        </w:rPr>
        <w:t>. Zdecydowanie zaleca się stosowanie testów aplikacyjnych, a nie syntetycznych, gdyż dają one bardziej wiarygodne wyniki</w:t>
      </w:r>
      <w:r w:rsidR="00863A1A">
        <w:rPr>
          <w:rStyle w:val="Wyrnienieintensywne"/>
          <w:color w:val="auto"/>
        </w:rPr>
        <w:t>. Tesy aplikacyjne mierzą wydajność całego systemu komputerowego w sposób najbardziej zbliżony użytkowaniu komputera w normalnych warunkach</w:t>
      </w:r>
      <w:r>
        <w:rPr>
          <w:rStyle w:val="Wyrnienieintensywne"/>
          <w:color w:val="auto"/>
        </w:rPr>
        <w:t>. Problematyka stosowania testów aplikacyjnych oraz ich wyższość nad testami syntetycznymi wyjaśniona jest w poradniku udostępnianym na stronie internetowej:</w:t>
      </w:r>
    </w:p>
    <w:p w14:paraId="1F074326" w14:textId="06770E31" w:rsidR="008B6B3B" w:rsidRDefault="00F041A1" w:rsidP="008F370C">
      <w:pPr>
        <w:rPr>
          <w:rStyle w:val="Wyrnienieintensywne"/>
          <w:iCs w:val="0"/>
          <w:color w:val="auto"/>
        </w:rPr>
      </w:pPr>
      <w:hyperlink r:id="rId7" w:history="1">
        <w:r w:rsidR="00B35696" w:rsidRPr="00BB615A">
          <w:rPr>
            <w:rStyle w:val="Hipercze"/>
          </w:rPr>
          <w:t>http://www.itexa.pl/piit/home/dobre-praktyki/rekomendacje-piit/testy-aplikacyjne</w:t>
        </w:r>
      </w:hyperlink>
      <w:r w:rsidR="00BE3E40">
        <w:rPr>
          <w:rStyle w:val="Wyrnienieintensywne"/>
          <w:iCs w:val="0"/>
          <w:color w:val="auto"/>
        </w:rPr>
        <w:t>.</w:t>
      </w:r>
    </w:p>
    <w:p w14:paraId="7683CEE1" w14:textId="01182E1F" w:rsidR="00F47715" w:rsidRDefault="00A710E6" w:rsidP="008F370C">
      <w:r w:rsidRPr="00E80BD1">
        <w:t xml:space="preserve">Zamawiający stosując testy aplikacyjne powinien określić dokładnie warunki ich przeprowadzania, by wykonawca mógł jeszcze przed złożeniem oferty zbadać swoje urządzenie w dokładnie tych samych </w:t>
      </w:r>
      <w:r w:rsidRPr="00E80BD1">
        <w:lastRenderedPageBreak/>
        <w:t xml:space="preserve">warunkach i w ten sposób upewnić się, że spełnia postawione wymagania. W przypadku testów </w:t>
      </w:r>
      <w:r w:rsidR="00E80BD1" w:rsidRPr="00E80BD1">
        <w:rPr>
          <w:rStyle w:val="Wyrnienieintensywne"/>
          <w:color w:val="auto"/>
        </w:rPr>
        <w:t xml:space="preserve">SYSmark® 2014 SE zaleca się powołanie na </w:t>
      </w:r>
      <w:r w:rsidR="00E80BD1" w:rsidRPr="00E80BD1">
        <w:rPr>
          <w:i/>
        </w:rPr>
        <w:t>BAPCo</w:t>
      </w:r>
      <w:r w:rsidR="00E80BD1" w:rsidRPr="00E80BD1">
        <w:rPr>
          <w:i/>
          <w:vertAlign w:val="superscript"/>
        </w:rPr>
        <w:t>®</w:t>
      </w:r>
      <w:r w:rsidR="00E80BD1" w:rsidRPr="00E80BD1">
        <w:rPr>
          <w:i/>
        </w:rPr>
        <w:t xml:space="preserve"> SYSmark</w:t>
      </w:r>
      <w:r w:rsidR="00E80BD1" w:rsidRPr="00E80BD1">
        <w:rPr>
          <w:i/>
          <w:vertAlign w:val="superscript"/>
        </w:rPr>
        <w:t>®</w:t>
      </w:r>
      <w:r w:rsidR="00E80BD1" w:rsidRPr="00E80BD1">
        <w:rPr>
          <w:i/>
        </w:rPr>
        <w:t xml:space="preserve"> 2014</w:t>
      </w:r>
      <w:r w:rsidR="00E80BD1">
        <w:rPr>
          <w:i/>
        </w:rPr>
        <w:t xml:space="preserve"> SE</w:t>
      </w:r>
      <w:r w:rsidR="00E80BD1" w:rsidRPr="00E80BD1">
        <w:rPr>
          <w:i/>
        </w:rPr>
        <w:t xml:space="preserve"> User Guide</w:t>
      </w:r>
      <w:r w:rsidR="00E80BD1" w:rsidRPr="00E80BD1">
        <w:t xml:space="preserve"> lub dołączenie tłumaczenia na j. polski odpowiedn</w:t>
      </w:r>
      <w:r w:rsidR="00E80BD1">
        <w:t>ich fragmentów tego podręcznika.</w:t>
      </w:r>
      <w:r w:rsidR="00F47715">
        <w:t xml:space="preserve"> Podręcznik w j. ang. jest dostępny na </w:t>
      </w:r>
      <w:r w:rsidR="00E544AA">
        <w:t>stronie, której adres podany został wyżej.</w:t>
      </w:r>
    </w:p>
    <w:p w14:paraId="17AE0BAB" w14:textId="2FD3FBFD" w:rsidR="002A4FC0" w:rsidRDefault="002A4FC0" w:rsidP="008F370C">
      <w:r>
        <w:t>Stosując testy SY</w:t>
      </w:r>
      <w:r w:rsidRPr="00E80BD1">
        <w:rPr>
          <w:rStyle w:val="Wyrnienieintensywne"/>
          <w:color w:val="auto"/>
        </w:rPr>
        <w:t>Smark® 2014 SE</w:t>
      </w:r>
      <w:r>
        <w:t xml:space="preserve"> do oceny wydajności urządzenia należy określić scenariusz wg, którego przeprowadzane będą testy (</w:t>
      </w:r>
      <w:r w:rsidR="006903B7" w:rsidRPr="003D4724">
        <w:rPr>
          <w:i/>
        </w:rPr>
        <w:t>Overall, Office Productivity</w:t>
      </w:r>
      <w:r w:rsidRPr="003D4724">
        <w:rPr>
          <w:i/>
        </w:rPr>
        <w:t xml:space="preserve">, </w:t>
      </w:r>
      <w:r w:rsidR="006903B7" w:rsidRPr="003D4724">
        <w:rPr>
          <w:i/>
        </w:rPr>
        <w:t xml:space="preserve">Media Creation, </w:t>
      </w:r>
      <w:r w:rsidR="003D4724" w:rsidRPr="003D4724">
        <w:rPr>
          <w:i/>
        </w:rPr>
        <w:t xml:space="preserve">Data/Financial Productivity </w:t>
      </w:r>
      <w:r w:rsidR="003D4724" w:rsidRPr="003D4724">
        <w:t>lub</w:t>
      </w:r>
      <w:r w:rsidR="003D4724" w:rsidRPr="003D4724">
        <w:rPr>
          <w:i/>
        </w:rPr>
        <w:t xml:space="preserve"> Responsivness</w:t>
      </w:r>
      <w:r>
        <w:t>).  Wybór scenariusza powinien uwzględniać model użytkowania urządzenia.</w:t>
      </w:r>
    </w:p>
    <w:p w14:paraId="0421F537" w14:textId="6E409D9D" w:rsidR="00863A1A" w:rsidRDefault="00863A1A" w:rsidP="008F370C">
      <w:r>
        <w:t xml:space="preserve">Rządowa sieć współpracy </w:t>
      </w:r>
      <w:r w:rsidRPr="00863A1A">
        <w:t xml:space="preserve"> </w:t>
      </w:r>
      <w:r w:rsidRPr="00E80BD1">
        <w:rPr>
          <w:i/>
        </w:rPr>
        <w:t>BAPCo</w:t>
      </w:r>
      <w:r w:rsidRPr="00E80BD1">
        <w:rPr>
          <w:i/>
          <w:vertAlign w:val="superscript"/>
        </w:rPr>
        <w:t>®</w:t>
      </w:r>
      <w:r>
        <w:t xml:space="preserve"> (</w:t>
      </w:r>
      <w:r w:rsidRPr="00863A1A">
        <w:t>BAPCo Government Network</w:t>
      </w:r>
      <w:r>
        <w:t>)</w:t>
      </w:r>
    </w:p>
    <w:p w14:paraId="0F445AF4" w14:textId="6850FF2D" w:rsidR="00863A1A" w:rsidRPr="00863A1A" w:rsidRDefault="00863A1A" w:rsidP="008F370C">
      <w:pPr>
        <w:rPr>
          <w:rStyle w:val="Wyrnienieintensywne"/>
          <w:iCs w:val="0"/>
          <w:color w:val="auto"/>
        </w:rPr>
      </w:pPr>
      <w:r>
        <w:t xml:space="preserve">Zamawiający będący jednostkami administracji publicznej lub należący do takich jednostek </w:t>
      </w:r>
      <w:r w:rsidR="0018706E">
        <w:t>mogą pozyskać nieodpłatnie</w:t>
      </w:r>
      <w:r w:rsidR="0018706E" w:rsidDel="0018706E">
        <w:t xml:space="preserve"> </w:t>
      </w:r>
      <w:r w:rsidR="0018706E">
        <w:t xml:space="preserve">min. </w:t>
      </w:r>
      <w:r>
        <w:t xml:space="preserve"> programy testujące wydajność </w:t>
      </w:r>
      <w:r w:rsidRPr="00E80BD1">
        <w:rPr>
          <w:i/>
        </w:rPr>
        <w:t>BAPCo</w:t>
      </w:r>
      <w:r w:rsidRPr="00E80BD1">
        <w:rPr>
          <w:i/>
          <w:vertAlign w:val="superscript"/>
        </w:rPr>
        <w:t>®</w:t>
      </w:r>
      <w:r w:rsidRPr="00E80BD1">
        <w:rPr>
          <w:i/>
        </w:rPr>
        <w:t xml:space="preserve"> </w:t>
      </w:r>
      <w:r>
        <w:t xml:space="preserve">   </w:t>
      </w:r>
      <w:r w:rsidR="007455B5">
        <w:t xml:space="preserve">oraz </w:t>
      </w:r>
      <w:r>
        <w:t xml:space="preserve">wsparcie po </w:t>
      </w:r>
      <w:r w:rsidR="0018706E">
        <w:t xml:space="preserve">przystąpieniu do </w:t>
      </w:r>
      <w:r w:rsidR="0018706E">
        <w:rPr>
          <w:i/>
        </w:rPr>
        <w:t>Rządowej sieci</w:t>
      </w:r>
      <w:r w:rsidR="0018706E" w:rsidRPr="0018706E">
        <w:rPr>
          <w:i/>
        </w:rPr>
        <w:t xml:space="preserve"> współpracy  BAPCo® </w:t>
      </w:r>
      <w:r w:rsidR="0018706E">
        <w:t xml:space="preserve"> (</w:t>
      </w:r>
      <w:r w:rsidR="0018706E" w:rsidRPr="00863A1A">
        <w:t>BAPCo Government Network</w:t>
      </w:r>
      <w:r w:rsidR="0018706E">
        <w:t>)</w:t>
      </w:r>
      <w:r>
        <w:t xml:space="preserve"> </w:t>
      </w:r>
      <w:r w:rsidRPr="00863A1A">
        <w:t>https://bapco.com/contact/bgn/</w:t>
      </w:r>
    </w:p>
    <w:p w14:paraId="58D972E4" w14:textId="4D43B215" w:rsidR="005A6476" w:rsidRDefault="008F370C" w:rsidP="00722A29">
      <w:pPr>
        <w:pStyle w:val="Nagwek2"/>
      </w:pPr>
      <w:r>
        <w:t>S</w:t>
      </w:r>
      <w:r w:rsidR="005A6476" w:rsidRPr="00722A29">
        <w:t>posób ustalenia wagi kryterium</w:t>
      </w:r>
      <w:r>
        <w:t xml:space="preserve"> (sugerowana wartość wagi)</w:t>
      </w:r>
    </w:p>
    <w:p w14:paraId="3913BE13" w14:textId="02452A9F" w:rsidR="008F370C" w:rsidRDefault="008F370C" w:rsidP="00513EEE">
      <w:pPr>
        <w:keepNext/>
        <w:jc w:val="both"/>
        <w:rPr>
          <w:i/>
          <w:sz w:val="18"/>
        </w:rPr>
      </w:pPr>
      <w:r w:rsidRPr="00F76D75">
        <w:rPr>
          <w:i/>
          <w:sz w:val="18"/>
        </w:rPr>
        <w:t>Określenie sposobu ustalania procentowej wagi kryterium – jego znaczenia przy wyborze oferty, wraz ze wskazówkami, jakie okoliczności winny być brane pod uwagę przy określaniu wagi.</w:t>
      </w:r>
    </w:p>
    <w:p w14:paraId="3280D407" w14:textId="6EA33E06" w:rsidR="00DE7F54" w:rsidRPr="00DE7F54" w:rsidRDefault="00DE7F54" w:rsidP="008F3132">
      <w:pPr>
        <w:keepNext/>
        <w:jc w:val="both"/>
        <w:rPr>
          <w:i/>
          <w:sz w:val="18"/>
        </w:rPr>
      </w:pPr>
      <w:r>
        <w:t xml:space="preserve">Ustalenie wagi kryterium powinno być poprzedzone analizą cenową rynku, na podstawie której zamawiający powinien ustalić średnie ceny urządzeń o minimalnej i maksymalnej wydajności oczekiwanej przez zamawiającego, spełniających jednocześnie wszystkie jego pozostałe wymagania. Waga kryterium powinna stanowić procent obliczony następująco </w:t>
      </w:r>
      <w:r>
        <w:rPr>
          <w:noProof/>
        </w:rPr>
        <w:t>W = (cena</w:t>
      </w:r>
      <w:r w:rsidRPr="00016AFC">
        <w:rPr>
          <w:noProof/>
          <w:vertAlign w:val="subscript"/>
        </w:rPr>
        <w:t>max</w:t>
      </w:r>
      <w:r>
        <w:rPr>
          <w:noProof/>
        </w:rPr>
        <w:t xml:space="preserve"> – cena</w:t>
      </w:r>
      <w:r w:rsidRPr="00016AFC">
        <w:rPr>
          <w:noProof/>
          <w:vertAlign w:val="subscript"/>
        </w:rPr>
        <w:t>min</w:t>
      </w:r>
      <w:r>
        <w:rPr>
          <w:noProof/>
        </w:rPr>
        <w:t>) / cena</w:t>
      </w:r>
      <w:r w:rsidRPr="00016AFC">
        <w:rPr>
          <w:noProof/>
          <w:vertAlign w:val="subscript"/>
        </w:rPr>
        <w:t>min</w:t>
      </w:r>
      <w:r>
        <w:rPr>
          <w:noProof/>
        </w:rPr>
        <w:t>.</w:t>
      </w:r>
    </w:p>
    <w:p w14:paraId="3D6CBE07" w14:textId="2FD2C4C5" w:rsidR="00224245" w:rsidRDefault="00224245" w:rsidP="00BB0508">
      <w:pPr>
        <w:pStyle w:val="Nagwek2"/>
      </w:pPr>
      <w:r>
        <w:t>Rekomendowane minimum</w:t>
      </w:r>
    </w:p>
    <w:p w14:paraId="43D387DE" w14:textId="769FE2EA" w:rsidR="00543407" w:rsidRDefault="00543407" w:rsidP="00513EEE">
      <w:pPr>
        <w:jc w:val="both"/>
        <w:rPr>
          <w:rStyle w:val="Wyrnieniedelikatne"/>
        </w:rPr>
      </w:pPr>
      <w:r w:rsidRPr="00BB0508">
        <w:rPr>
          <w:rStyle w:val="Wyrnieniedelikatne"/>
        </w:rPr>
        <w:t>Określenie minimalnej wartości kryterium, poniżej której oferta zostaje odrzucona. Może to być</w:t>
      </w:r>
      <w:r w:rsidR="00A53EDB">
        <w:rPr>
          <w:rStyle w:val="Wyrnieniedelikatne"/>
        </w:rPr>
        <w:t xml:space="preserve"> np.</w:t>
      </w:r>
      <w:r w:rsidRPr="00BB0508">
        <w:rPr>
          <w:rStyle w:val="Wyrnieniedelikatne"/>
        </w:rPr>
        <w:t xml:space="preserve"> minimalna wydajność</w:t>
      </w:r>
      <w:r w:rsidR="00A53EDB">
        <w:rPr>
          <w:rStyle w:val="Wyrnieniedelikatne"/>
        </w:rPr>
        <w:t xml:space="preserve"> urządzenia, minimalny okres gwarancji</w:t>
      </w:r>
      <w:r w:rsidRPr="00BB0508">
        <w:rPr>
          <w:rStyle w:val="Wyrnieniedelikatne"/>
        </w:rPr>
        <w:t>, minimalne doświadczenie</w:t>
      </w:r>
      <w:r w:rsidR="00A53EDB">
        <w:rPr>
          <w:rStyle w:val="Wyrnieniedelikatne"/>
        </w:rPr>
        <w:t xml:space="preserve"> w latach</w:t>
      </w:r>
      <w:r w:rsidRPr="00BB0508">
        <w:rPr>
          <w:rStyle w:val="Wyrnieniedelikatne"/>
        </w:rPr>
        <w:t>, którym wykazać się muszą osoby realizujące zamówienie itp.</w:t>
      </w:r>
    </w:p>
    <w:p w14:paraId="6ED11999" w14:textId="087C83E1" w:rsidR="00DE7F54" w:rsidRDefault="00DE7F54" w:rsidP="00513EEE">
      <w:pPr>
        <w:jc w:val="both"/>
        <w:rPr>
          <w:rStyle w:val="Wyrnieniedelikatne"/>
        </w:rPr>
      </w:pPr>
      <w:r w:rsidRPr="002E630D">
        <w:rPr>
          <w:rStyle w:val="Wyrnienieintensywne"/>
          <w:color w:val="auto"/>
        </w:rPr>
        <w:t>Minimalna wydajność powinna być określona przez wskazanie wyniku odpowiedniego testu przeprowadzonego na urządzeniu o minimalnej wydajności satysfakcjonującej zamawiającego. Oferty, w których proponowany będzie zakup urządzeń o mniejszej wydajności zostaną odrzucone, zatem nie będzie dla nich obliczana liczba punktów w ramach poszczególnych kryteriów. Oferty, w których zaproponowane będą urządzenia o minimalnej wydajności otrzymają w ramach opisywanego kryterium 0 punktó</w:t>
      </w:r>
      <w:r>
        <w:rPr>
          <w:rStyle w:val="Wyrnienieintensywne"/>
          <w:color w:val="auto"/>
        </w:rPr>
        <w:t>w.</w:t>
      </w:r>
    </w:p>
    <w:p w14:paraId="1484BEEC" w14:textId="6465D4B7" w:rsidR="00C90B18" w:rsidRDefault="00C90B18" w:rsidP="00C90B18">
      <w:pPr>
        <w:jc w:val="both"/>
      </w:pPr>
      <w:r>
        <w:t>Do oceny wydajności komputerów stacjonarnych i przenośnych można stosować testy SYSmark. W</w:t>
      </w:r>
      <w:r w:rsidR="00513EEE">
        <w:t> </w:t>
      </w:r>
      <w:r>
        <w:t>znakomitej większości przypadków, gdy urządzenie stosowane jest do typowej pracy biurowej z wykorzystaniem typowych pakietów oprogramowania, wystarczającą wydajność określić można na podstawie tabeli:</w:t>
      </w:r>
    </w:p>
    <w:tbl>
      <w:tblPr>
        <w:tblStyle w:val="Tabelasiatki1jasna"/>
        <w:tblW w:w="9107" w:type="dxa"/>
        <w:jc w:val="center"/>
        <w:tblLook w:val="0400" w:firstRow="0" w:lastRow="0" w:firstColumn="0" w:lastColumn="0" w:noHBand="0" w:noVBand="1"/>
      </w:tblPr>
      <w:tblGrid>
        <w:gridCol w:w="414"/>
        <w:gridCol w:w="5960"/>
        <w:gridCol w:w="1361"/>
        <w:gridCol w:w="1372"/>
      </w:tblGrid>
      <w:tr w:rsidR="00C90B18" w:rsidRPr="00CE171E" w14:paraId="7541AD8D" w14:textId="77777777" w:rsidTr="00513EEE">
        <w:trPr>
          <w:jc w:val="center"/>
        </w:trPr>
        <w:tc>
          <w:tcPr>
            <w:tcW w:w="414" w:type="dxa"/>
            <w:vMerge w:val="restart"/>
            <w:shd w:val="clear" w:color="auto" w:fill="D5DCE4" w:themeFill="text2" w:themeFillTint="33"/>
            <w:vAlign w:val="center"/>
          </w:tcPr>
          <w:p w14:paraId="439D2825" w14:textId="77777777" w:rsidR="00C90B18" w:rsidRPr="00CE171E" w:rsidRDefault="00C90B18" w:rsidP="00C90B18">
            <w:pPr>
              <w:jc w:val="center"/>
              <w:rPr>
                <w:b/>
                <w:color w:val="990F08"/>
                <w:sz w:val="18"/>
              </w:rPr>
            </w:pPr>
          </w:p>
        </w:tc>
        <w:tc>
          <w:tcPr>
            <w:tcW w:w="5960" w:type="dxa"/>
            <w:vMerge w:val="restart"/>
            <w:shd w:val="clear" w:color="auto" w:fill="D5DCE4" w:themeFill="text2" w:themeFillTint="33"/>
            <w:vAlign w:val="center"/>
          </w:tcPr>
          <w:p w14:paraId="7F19E70F" w14:textId="77777777" w:rsidR="00C90B18" w:rsidRPr="00CE171E" w:rsidRDefault="00C90B18" w:rsidP="00C90B18">
            <w:pPr>
              <w:jc w:val="center"/>
              <w:rPr>
                <w:color w:val="990F08"/>
                <w:sz w:val="18"/>
              </w:rPr>
            </w:pPr>
            <w:r w:rsidRPr="00CE171E">
              <w:rPr>
                <w:color w:val="990F08"/>
                <w:sz w:val="18"/>
              </w:rPr>
              <w:t>Model użytkowania komputera</w:t>
            </w:r>
          </w:p>
        </w:tc>
        <w:tc>
          <w:tcPr>
            <w:tcW w:w="2733" w:type="dxa"/>
            <w:gridSpan w:val="2"/>
            <w:shd w:val="clear" w:color="auto" w:fill="D5DCE4" w:themeFill="text2" w:themeFillTint="33"/>
            <w:vAlign w:val="center"/>
          </w:tcPr>
          <w:p w14:paraId="1FC21F90" w14:textId="4DED803F" w:rsidR="00C90B18" w:rsidRPr="00CE171E" w:rsidRDefault="00C90B18" w:rsidP="00C90B18">
            <w:pPr>
              <w:suppressAutoHyphens/>
              <w:jc w:val="center"/>
              <w:rPr>
                <w:color w:val="990F08"/>
                <w:sz w:val="18"/>
              </w:rPr>
            </w:pPr>
            <w:r w:rsidRPr="00CE171E">
              <w:rPr>
                <w:color w:val="990F08"/>
                <w:sz w:val="18"/>
              </w:rPr>
              <w:t>Minimalny wynik ogólny</w:t>
            </w:r>
            <w:r w:rsidR="00CE171E" w:rsidRPr="00CE171E">
              <w:rPr>
                <w:color w:val="990F08"/>
                <w:sz w:val="18"/>
              </w:rPr>
              <w:t xml:space="preserve"> (Overall Performance)</w:t>
            </w:r>
            <w:r w:rsidRPr="00CE171E">
              <w:rPr>
                <w:color w:val="990F08"/>
                <w:sz w:val="18"/>
              </w:rPr>
              <w:t xml:space="preserve"> SYSmark 2014</w:t>
            </w:r>
            <w:r w:rsidR="00CE171E">
              <w:rPr>
                <w:color w:val="990F08"/>
                <w:sz w:val="18"/>
              </w:rPr>
              <w:t xml:space="preserve"> SE</w:t>
            </w:r>
          </w:p>
        </w:tc>
      </w:tr>
      <w:tr w:rsidR="00C90B18" w:rsidRPr="00CE171E" w14:paraId="5A7A18E5" w14:textId="77777777" w:rsidTr="00513EEE">
        <w:trPr>
          <w:jc w:val="center"/>
        </w:trPr>
        <w:tc>
          <w:tcPr>
            <w:tcW w:w="414" w:type="dxa"/>
            <w:vMerge/>
            <w:vAlign w:val="center"/>
          </w:tcPr>
          <w:p w14:paraId="73ABFD0B" w14:textId="77777777" w:rsidR="00C90B18" w:rsidRPr="00CE171E" w:rsidRDefault="00C90B18" w:rsidP="00C90B18">
            <w:pPr>
              <w:jc w:val="center"/>
              <w:rPr>
                <w:b/>
                <w:color w:val="4472C4" w:themeColor="accent1"/>
                <w:sz w:val="18"/>
              </w:rPr>
            </w:pPr>
          </w:p>
        </w:tc>
        <w:tc>
          <w:tcPr>
            <w:tcW w:w="5960" w:type="dxa"/>
            <w:vMerge/>
            <w:vAlign w:val="center"/>
          </w:tcPr>
          <w:p w14:paraId="281794E5" w14:textId="77777777" w:rsidR="00C90B18" w:rsidRPr="00CE171E" w:rsidRDefault="00C90B18" w:rsidP="00C90B18">
            <w:pPr>
              <w:rPr>
                <w:b/>
                <w:color w:val="4472C4" w:themeColor="accent1"/>
                <w:sz w:val="18"/>
              </w:rPr>
            </w:pPr>
          </w:p>
        </w:tc>
        <w:tc>
          <w:tcPr>
            <w:tcW w:w="1361" w:type="dxa"/>
            <w:shd w:val="clear" w:color="auto" w:fill="D5DCE4" w:themeFill="text2" w:themeFillTint="33"/>
            <w:vAlign w:val="center"/>
          </w:tcPr>
          <w:p w14:paraId="2BB7DF72" w14:textId="77777777" w:rsidR="00C90B18" w:rsidRPr="00CE171E" w:rsidRDefault="00C90B18" w:rsidP="00C90B18">
            <w:pPr>
              <w:suppressAutoHyphens/>
              <w:jc w:val="center"/>
              <w:rPr>
                <w:color w:val="990F08"/>
                <w:sz w:val="18"/>
              </w:rPr>
            </w:pPr>
            <w:r w:rsidRPr="00CE171E">
              <w:rPr>
                <w:color w:val="990F08"/>
                <w:sz w:val="18"/>
              </w:rPr>
              <w:t>Desktop</w:t>
            </w:r>
          </w:p>
        </w:tc>
        <w:tc>
          <w:tcPr>
            <w:tcW w:w="1372" w:type="dxa"/>
            <w:shd w:val="clear" w:color="auto" w:fill="D5DCE4" w:themeFill="text2" w:themeFillTint="33"/>
            <w:vAlign w:val="center"/>
          </w:tcPr>
          <w:p w14:paraId="4803F27A" w14:textId="77777777" w:rsidR="00C90B18" w:rsidRPr="00CE171E" w:rsidRDefault="00C90B18" w:rsidP="00C90B18">
            <w:pPr>
              <w:suppressAutoHyphens/>
              <w:jc w:val="center"/>
              <w:rPr>
                <w:color w:val="990F08"/>
                <w:sz w:val="18"/>
              </w:rPr>
            </w:pPr>
            <w:r w:rsidRPr="00CE171E">
              <w:rPr>
                <w:color w:val="990F08"/>
                <w:sz w:val="18"/>
              </w:rPr>
              <w:t>Notebook</w:t>
            </w:r>
          </w:p>
        </w:tc>
      </w:tr>
      <w:tr w:rsidR="00C90B18" w:rsidRPr="00CE171E" w14:paraId="020DC110" w14:textId="77777777" w:rsidTr="00C90B18">
        <w:trPr>
          <w:jc w:val="center"/>
        </w:trPr>
        <w:tc>
          <w:tcPr>
            <w:tcW w:w="414" w:type="dxa"/>
            <w:vAlign w:val="center"/>
          </w:tcPr>
          <w:p w14:paraId="1919FC95" w14:textId="77777777" w:rsidR="00C90B18" w:rsidRPr="00CE171E" w:rsidRDefault="00C90B18" w:rsidP="00C90B18">
            <w:pPr>
              <w:jc w:val="center"/>
              <w:rPr>
                <w:b/>
                <w:sz w:val="18"/>
              </w:rPr>
            </w:pPr>
            <w:r w:rsidRPr="00CE171E">
              <w:rPr>
                <w:sz w:val="18"/>
              </w:rPr>
              <w:t>A</w:t>
            </w:r>
          </w:p>
        </w:tc>
        <w:tc>
          <w:tcPr>
            <w:tcW w:w="5960" w:type="dxa"/>
            <w:vAlign w:val="center"/>
          </w:tcPr>
          <w:p w14:paraId="14FBAF7B" w14:textId="77777777" w:rsidR="00C90B18" w:rsidRPr="00CE171E" w:rsidRDefault="00C90B18" w:rsidP="00C90B18">
            <w:pPr>
              <w:rPr>
                <w:sz w:val="18"/>
              </w:rPr>
            </w:pPr>
            <w:r w:rsidRPr="00CE171E">
              <w:rPr>
                <w:sz w:val="18"/>
              </w:rPr>
              <w:t>Pracownik wykonujący proste zadania administracyjne korzystający z: poczty elektronicznej, przeglądarki internetowej, edytora tekstów, czytnika plików PDF, programu antywirusowego, lokalnych i przeglądarkowych aplikacji do typowych zadań biurowych (kalendarz, książka kontaktów)</w:t>
            </w:r>
          </w:p>
        </w:tc>
        <w:tc>
          <w:tcPr>
            <w:tcW w:w="1361" w:type="dxa"/>
            <w:vAlign w:val="center"/>
          </w:tcPr>
          <w:p w14:paraId="1687C2E0" w14:textId="065A4B13" w:rsidR="00C90B18" w:rsidRPr="00CE171E" w:rsidRDefault="00787E12" w:rsidP="00C90B1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372" w:type="dxa"/>
            <w:vAlign w:val="center"/>
          </w:tcPr>
          <w:p w14:paraId="714BBFE6" w14:textId="50FED6B1" w:rsidR="00C90B18" w:rsidRPr="00CE171E" w:rsidRDefault="00787E12" w:rsidP="00C90B18">
            <w:pPr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C90B18" w:rsidRPr="00CE171E" w14:paraId="201F4A22" w14:textId="77777777" w:rsidTr="00C90B18">
        <w:trPr>
          <w:jc w:val="center"/>
        </w:trPr>
        <w:tc>
          <w:tcPr>
            <w:tcW w:w="414" w:type="dxa"/>
            <w:vAlign w:val="center"/>
          </w:tcPr>
          <w:p w14:paraId="64B42281" w14:textId="77777777" w:rsidR="00C90B18" w:rsidRPr="00CE171E" w:rsidRDefault="00C90B18" w:rsidP="00C90B18">
            <w:pPr>
              <w:jc w:val="center"/>
              <w:rPr>
                <w:b/>
                <w:sz w:val="18"/>
              </w:rPr>
            </w:pPr>
            <w:r w:rsidRPr="00CE171E">
              <w:rPr>
                <w:sz w:val="18"/>
              </w:rPr>
              <w:t>B</w:t>
            </w:r>
          </w:p>
        </w:tc>
        <w:tc>
          <w:tcPr>
            <w:tcW w:w="5960" w:type="dxa"/>
            <w:vAlign w:val="center"/>
          </w:tcPr>
          <w:p w14:paraId="6D9CA8B2" w14:textId="74422BCA" w:rsidR="00C90B18" w:rsidRPr="00CE171E" w:rsidRDefault="00C90B18" w:rsidP="00C90B18">
            <w:pPr>
              <w:rPr>
                <w:sz w:val="18"/>
              </w:rPr>
            </w:pPr>
            <w:r w:rsidRPr="00CE171E">
              <w:rPr>
                <w:sz w:val="18"/>
              </w:rPr>
              <w:t>Pracownik wykonujący zadania administracyjne korzystający z aplikacji, jak wyżej (A) oraz z rozbudowanych arkuszy kalkulacyjnych, oprogramowania do tworzenia prezentacji, lokalnej bazy danych, aplikacji przeglądarkowych oraz klient/serwer.</w:t>
            </w:r>
          </w:p>
        </w:tc>
        <w:tc>
          <w:tcPr>
            <w:tcW w:w="1361" w:type="dxa"/>
            <w:vAlign w:val="center"/>
          </w:tcPr>
          <w:p w14:paraId="2E00B2D8" w14:textId="5B7F2661" w:rsidR="00C90B18" w:rsidRPr="00CE171E" w:rsidRDefault="00787E12" w:rsidP="00C90B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1050</w:t>
            </w:r>
          </w:p>
        </w:tc>
        <w:tc>
          <w:tcPr>
            <w:tcW w:w="1372" w:type="dxa"/>
            <w:vAlign w:val="center"/>
          </w:tcPr>
          <w:p w14:paraId="6BD9DDCF" w14:textId="37F04E86" w:rsidR="00C90B18" w:rsidRPr="00CE171E" w:rsidRDefault="00787E12" w:rsidP="00C90B18">
            <w:pPr>
              <w:jc w:val="right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</w:tr>
      <w:tr w:rsidR="00C90B18" w:rsidRPr="00CE171E" w14:paraId="53F6CB5C" w14:textId="77777777" w:rsidTr="00C90B18">
        <w:trPr>
          <w:jc w:val="center"/>
        </w:trPr>
        <w:tc>
          <w:tcPr>
            <w:tcW w:w="414" w:type="dxa"/>
            <w:vAlign w:val="center"/>
          </w:tcPr>
          <w:p w14:paraId="6B6BBE9C" w14:textId="77777777" w:rsidR="00C90B18" w:rsidRPr="00CE171E" w:rsidRDefault="00C90B18" w:rsidP="00C90B18">
            <w:pPr>
              <w:jc w:val="center"/>
              <w:rPr>
                <w:b/>
                <w:sz w:val="18"/>
              </w:rPr>
            </w:pPr>
            <w:r w:rsidRPr="00CE171E">
              <w:rPr>
                <w:sz w:val="18"/>
              </w:rPr>
              <w:lastRenderedPageBreak/>
              <w:t>C</w:t>
            </w:r>
          </w:p>
        </w:tc>
        <w:tc>
          <w:tcPr>
            <w:tcW w:w="5960" w:type="dxa"/>
            <w:vAlign w:val="center"/>
          </w:tcPr>
          <w:p w14:paraId="1F7C52B9" w14:textId="77777777" w:rsidR="00C90B18" w:rsidRPr="00CE171E" w:rsidRDefault="00C90B18" w:rsidP="00C90B18">
            <w:pPr>
              <w:rPr>
                <w:sz w:val="18"/>
              </w:rPr>
            </w:pPr>
            <w:r w:rsidRPr="00CE171E">
              <w:rPr>
                <w:sz w:val="18"/>
              </w:rPr>
              <w:t>Pracownik wykonujący zadania administracyjne o rozszerzonym zakresie korzystający z aplikacji, jak wyżej (B) oraz złożonych aplikacji klient/serwer, programów graficznych dokonujących obróbki obrazów 2D/3D, a także grafiki wektorowej.</w:t>
            </w:r>
          </w:p>
        </w:tc>
        <w:tc>
          <w:tcPr>
            <w:tcW w:w="1361" w:type="dxa"/>
            <w:vAlign w:val="center"/>
          </w:tcPr>
          <w:p w14:paraId="7F7E33FB" w14:textId="19014B1D" w:rsidR="00C90B18" w:rsidRPr="00CE171E" w:rsidRDefault="00787E12" w:rsidP="00C90B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1372" w:type="dxa"/>
            <w:vAlign w:val="center"/>
          </w:tcPr>
          <w:p w14:paraId="279D2DE7" w14:textId="07D8F0AF" w:rsidR="00C90B18" w:rsidRPr="00CE171E" w:rsidRDefault="00787E12" w:rsidP="00C90B18">
            <w:pPr>
              <w:jc w:val="right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</w:tbl>
    <w:p w14:paraId="3DE47D76" w14:textId="10713330" w:rsidR="00C90B18" w:rsidRDefault="00B21A0E" w:rsidP="00B21A0E">
      <w:pPr>
        <w:spacing w:before="240"/>
        <w:jc w:val="both"/>
      </w:pPr>
      <w:r>
        <w:t>W przypadku zupełnie innego przeznaczenia urządzenia</w:t>
      </w:r>
      <w:r w:rsidR="00291137">
        <w:t>,</w:t>
      </w:r>
      <w:r>
        <w:t xml:space="preserve"> stosowanie testów aplikacyjnych może okazać się niewskazane.</w:t>
      </w:r>
    </w:p>
    <w:p w14:paraId="0FC2D9CE" w14:textId="08141327" w:rsidR="00224245" w:rsidRDefault="00224245" w:rsidP="00BB0508">
      <w:pPr>
        <w:pStyle w:val="Nagwek2"/>
      </w:pPr>
      <w:r>
        <w:t>Rekomendowane maksimum</w:t>
      </w:r>
    </w:p>
    <w:p w14:paraId="052F7EF0" w14:textId="5E98913F"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 xml:space="preserve">Określenie maksymalnej wartości kryterium powyżej, której liczba przyznanych punków nie będzie rosła. </w:t>
      </w:r>
    </w:p>
    <w:p w14:paraId="1E091985" w14:textId="601EC9C5" w:rsidR="00DE7F54" w:rsidRDefault="00DE7F54" w:rsidP="00513EEE">
      <w:pPr>
        <w:jc w:val="both"/>
        <w:rPr>
          <w:rStyle w:val="Wyrnienieintensywne"/>
          <w:color w:val="auto"/>
        </w:rPr>
      </w:pPr>
      <w:r w:rsidRPr="002E630D">
        <w:rPr>
          <w:rStyle w:val="Wyrnienieintensywne"/>
          <w:color w:val="auto"/>
        </w:rPr>
        <w:t>Maksymalna wydajność</w:t>
      </w:r>
      <w:bookmarkStart w:id="0" w:name="_GoBack"/>
      <w:bookmarkEnd w:id="0"/>
      <w:r w:rsidRPr="002E630D">
        <w:rPr>
          <w:rStyle w:val="Wyrnienieintensywne"/>
          <w:color w:val="auto"/>
        </w:rPr>
        <w:t xml:space="preserve"> powinna być określona przez wskazanie wyniku odpowiedniego testu przeprowadzonego na urządzeniu o maksymalnej wydajności oczekiwanej zamawiającego, odpowiadającej jego obiektywnym potrzebom. Oferty, w których zaproponowane zostaną urządzenia będą miały wydajność większą lub równą maksymalnej otrzymają w ramach opisywanego kryterium 100 punktów</w:t>
      </w:r>
      <w:r>
        <w:rPr>
          <w:rStyle w:val="Wyrnienieintensywne"/>
          <w:color w:val="auto"/>
        </w:rPr>
        <w:t>.</w:t>
      </w:r>
    </w:p>
    <w:p w14:paraId="182F6C6D" w14:textId="4E9074A3" w:rsidR="008C5DE2" w:rsidRPr="008C5DE2" w:rsidRDefault="008C5DE2" w:rsidP="00513EEE">
      <w:pPr>
        <w:jc w:val="both"/>
        <w:rPr>
          <w:rStyle w:val="Wyrnienieintensywne"/>
          <w:color w:val="auto"/>
        </w:rPr>
      </w:pPr>
      <w:r w:rsidRPr="008C5DE2">
        <w:rPr>
          <w:rStyle w:val="Wyrnienieintensywne"/>
          <w:color w:val="auto"/>
        </w:rPr>
        <w:t xml:space="preserve">W przypadku, gdy </w:t>
      </w:r>
      <w:r>
        <w:rPr>
          <w:rStyle w:val="Wyrnienieintensywne"/>
          <w:color w:val="auto"/>
        </w:rPr>
        <w:t>wydajność jest szczególnie istotna</w:t>
      </w:r>
      <w:r w:rsidRPr="008C5DE2">
        <w:rPr>
          <w:rStyle w:val="Wyrnienieintensywne"/>
          <w:color w:val="auto"/>
        </w:rPr>
        <w:t xml:space="preserve"> dla zamawiającego może on zrezygnować z określania wartości maksymalnej.</w:t>
      </w:r>
    </w:p>
    <w:p w14:paraId="412A5D59" w14:textId="4DD04050" w:rsidR="00224245" w:rsidRDefault="00224245" w:rsidP="00BB0508">
      <w:pPr>
        <w:pStyle w:val="Nagwek2"/>
      </w:pPr>
      <w:r>
        <w:t>Wzór zgodnie, z którym obliczana będzie liczba punktów</w:t>
      </w:r>
    </w:p>
    <w:p w14:paraId="49402164" w14:textId="0BBB509B"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>Wzór matematyczny stosowany, gdy zaoferowana wartość kryterium mieści się w granicach wyznaczonych przez rekomendowane minimum i maksimum.</w:t>
      </w:r>
    </w:p>
    <w:p w14:paraId="7B73E61A" w14:textId="77777777" w:rsidR="00B35696" w:rsidRPr="00D87477" w:rsidRDefault="00B35696" w:rsidP="00B35696">
      <w:pPr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t>P</w:t>
      </w:r>
      <w:r w:rsidRPr="00D87477">
        <w:rPr>
          <w:rStyle w:val="Wyrnienieintensywne"/>
          <w:color w:val="auto"/>
          <w:vertAlign w:val="subscript"/>
        </w:rPr>
        <w:t>(wydajność)</w:t>
      </w:r>
      <w:r w:rsidRPr="00D87477">
        <w:rPr>
          <w:rStyle w:val="Wyrnienieintensywne"/>
          <w:color w:val="auto"/>
        </w:rPr>
        <w:t xml:space="preserve"> = (W</w:t>
      </w:r>
      <w:r w:rsidRPr="00D87477">
        <w:rPr>
          <w:rStyle w:val="Wyrnienieintensywne"/>
          <w:color w:val="auto"/>
          <w:vertAlign w:val="subscript"/>
        </w:rPr>
        <w:t>ofrt</w:t>
      </w:r>
      <w:r w:rsidRPr="00D87477">
        <w:rPr>
          <w:rStyle w:val="Wyrnienieintensywne"/>
          <w:color w:val="auto"/>
        </w:rPr>
        <w:t xml:space="preserve"> – W</w:t>
      </w:r>
      <w:r w:rsidRPr="00D87477">
        <w:rPr>
          <w:rStyle w:val="Wyrnienieintensywne"/>
          <w:color w:val="auto"/>
          <w:vertAlign w:val="subscript"/>
        </w:rPr>
        <w:t>min)</w:t>
      </w:r>
      <w:r w:rsidRPr="00D87477">
        <w:rPr>
          <w:rStyle w:val="Wyrnienieintensywne"/>
          <w:color w:val="auto"/>
        </w:rPr>
        <w:t xml:space="preserve"> /(W</w:t>
      </w:r>
      <w:r w:rsidRPr="00D87477">
        <w:rPr>
          <w:rStyle w:val="Wyrnienieintensywne"/>
          <w:color w:val="auto"/>
          <w:vertAlign w:val="subscript"/>
        </w:rPr>
        <w:t>max</w:t>
      </w:r>
      <w:r w:rsidRPr="00D87477">
        <w:rPr>
          <w:rStyle w:val="Wyrnienieintensywne"/>
          <w:color w:val="auto"/>
        </w:rPr>
        <w:t xml:space="preserve"> – W</w:t>
      </w:r>
      <w:r w:rsidRPr="00D87477">
        <w:rPr>
          <w:rStyle w:val="Wyrnienieintensywne"/>
          <w:color w:val="auto"/>
          <w:vertAlign w:val="subscript"/>
        </w:rPr>
        <w:t>min</w:t>
      </w:r>
      <w:r w:rsidRPr="00D87477">
        <w:rPr>
          <w:rStyle w:val="Wyrnienieintensywne"/>
          <w:color w:val="auto"/>
        </w:rPr>
        <w:t>) x 100</w:t>
      </w:r>
    </w:p>
    <w:p w14:paraId="284F7F30" w14:textId="77777777" w:rsidR="00B35696" w:rsidRPr="00D87477" w:rsidRDefault="00B35696" w:rsidP="00B35696">
      <w:pPr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t>gdzie:</w:t>
      </w:r>
    </w:p>
    <w:p w14:paraId="0CCF2524" w14:textId="77777777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tab/>
        <w:t>P</w:t>
      </w:r>
      <w:r w:rsidRPr="00D87477">
        <w:rPr>
          <w:rStyle w:val="Wyrnienieintensywne"/>
          <w:color w:val="auto"/>
          <w:vertAlign w:val="subscript"/>
        </w:rPr>
        <w:t>(wydajność)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liczba punków uzyskana w ramach kryterium „wydajność”</w:t>
      </w:r>
    </w:p>
    <w:p w14:paraId="01D07B3F" w14:textId="77777777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  <w:vertAlign w:val="subscript"/>
        </w:rPr>
      </w:pPr>
      <w:r w:rsidRPr="00D87477">
        <w:rPr>
          <w:rStyle w:val="Wyrnienieintensywne"/>
          <w:color w:val="auto"/>
        </w:rPr>
        <w:tab/>
        <w:t>W</w:t>
      </w:r>
      <w:r w:rsidRPr="00D87477">
        <w:rPr>
          <w:rStyle w:val="Wyrnienieintensywne"/>
          <w:color w:val="auto"/>
          <w:vertAlign w:val="subscript"/>
        </w:rPr>
        <w:t>ofrt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wynik testu urządzenia zaproponowanego w badanej ofercie</w:t>
      </w:r>
      <w:r>
        <w:rPr>
          <w:rStyle w:val="Wyrnienieintensywne"/>
          <w:color w:val="auto"/>
        </w:rPr>
        <w:t>,</w:t>
      </w:r>
    </w:p>
    <w:p w14:paraId="3614D6F6" w14:textId="77777777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  <w:vertAlign w:val="subscript"/>
        </w:rPr>
      </w:pPr>
      <w:r w:rsidRPr="00D87477">
        <w:rPr>
          <w:rStyle w:val="Wyrnienieintensywne"/>
          <w:color w:val="auto"/>
        </w:rPr>
        <w:tab/>
        <w:t>W</w:t>
      </w:r>
      <w:r w:rsidRPr="00D87477">
        <w:rPr>
          <w:rStyle w:val="Wyrnienieintensywne"/>
          <w:color w:val="auto"/>
          <w:vertAlign w:val="subscript"/>
        </w:rPr>
        <w:t>min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minimalny oczekiwany wynik testu urządzenia</w:t>
      </w:r>
      <w:r>
        <w:rPr>
          <w:rStyle w:val="Wyrnienieintensywne"/>
          <w:color w:val="auto"/>
        </w:rPr>
        <w:t>,</w:t>
      </w:r>
    </w:p>
    <w:p w14:paraId="2C0FF698" w14:textId="2FF4BF7E" w:rsidR="00B35696" w:rsidRPr="00B35696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i/>
          <w:color w:val="auto"/>
        </w:rPr>
      </w:pPr>
      <w:r w:rsidRPr="00D87477">
        <w:rPr>
          <w:rStyle w:val="Wyrnienieintensywne"/>
          <w:color w:val="auto"/>
        </w:rPr>
        <w:tab/>
        <w:t>W</w:t>
      </w:r>
      <w:r w:rsidRPr="00B35696">
        <w:rPr>
          <w:rStyle w:val="Wyrnienieintensywne"/>
          <w:color w:val="auto"/>
          <w:vertAlign w:val="subscript"/>
        </w:rPr>
        <w:t>max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maksymalny o</w:t>
      </w:r>
      <w:r>
        <w:rPr>
          <w:rStyle w:val="Wyrnienieintensywne"/>
          <w:color w:val="auto"/>
        </w:rPr>
        <w:t>czekiwany wynik testu urządzenia.</w:t>
      </w:r>
    </w:p>
    <w:p w14:paraId="4698F3FB" w14:textId="51AE8A19" w:rsidR="00026A35" w:rsidRPr="00B35696" w:rsidRDefault="00026A35" w:rsidP="004712FB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</w:rPr>
      </w:pPr>
    </w:p>
    <w:p w14:paraId="114BEAF0" w14:textId="63E37B00" w:rsidR="00224245" w:rsidRDefault="00224245" w:rsidP="00BB0508">
      <w:pPr>
        <w:pStyle w:val="Nagwek2"/>
      </w:pPr>
      <w:r>
        <w:t>Sposób zaokrąglania</w:t>
      </w:r>
    </w:p>
    <w:p w14:paraId="28F2973A" w14:textId="5CCE2F15" w:rsidR="00B85A99" w:rsidRDefault="00B85A99" w:rsidP="00B85A99">
      <w:pPr>
        <w:rPr>
          <w:rStyle w:val="Wyrnieniedelikatne"/>
        </w:rPr>
      </w:pPr>
      <w:r w:rsidRPr="00BB0508">
        <w:rPr>
          <w:rStyle w:val="Wyrnieniedelikatne"/>
        </w:rPr>
        <w:t>Określenie zasad zaokrąglania w przypadku, g</w:t>
      </w:r>
      <w:r w:rsidR="008C4652" w:rsidRPr="00BB0508">
        <w:rPr>
          <w:rStyle w:val="Wyrnieniedelikatne"/>
        </w:rPr>
        <w:t>dy liczba punktów może utyskiwać wartości ułamkowe.</w:t>
      </w:r>
    </w:p>
    <w:p w14:paraId="78BFE75B" w14:textId="77777777" w:rsidR="00B35696" w:rsidRPr="00F76D75" w:rsidRDefault="00B35696" w:rsidP="00B35696">
      <w:pPr>
        <w:jc w:val="both"/>
        <w:rPr>
          <w:rStyle w:val="Wyrnieniedelikatne"/>
          <w:i w:val="0"/>
          <w:color w:val="auto"/>
          <w:sz w:val="22"/>
          <w:szCs w:val="24"/>
        </w:rPr>
      </w:pPr>
      <w:r w:rsidRPr="00F76D75">
        <w:rPr>
          <w:rStyle w:val="Wyrnieniedelikatne"/>
          <w:i w:val="0"/>
          <w:color w:val="auto"/>
          <w:sz w:val="22"/>
          <w:szCs w:val="24"/>
        </w:rPr>
        <w:t>Proponuje się by obliczenia liczby punktów w ramach wszystkich kryteriów (w tym ceny lub kosztu), mnożenie uzyskanych punktów przez wagi kryteriów oraz sumowanie punktów w ramach poszczególnych kryteriów, dokony</w:t>
      </w:r>
      <w:r>
        <w:rPr>
          <w:rStyle w:val="Wyrnieniedelikatne"/>
          <w:i w:val="0"/>
          <w:color w:val="auto"/>
          <w:sz w:val="22"/>
          <w:szCs w:val="24"/>
        </w:rPr>
        <w:t>wane były</w:t>
      </w:r>
      <w:r w:rsidRPr="00F76D75">
        <w:rPr>
          <w:rStyle w:val="Wyrnieniedelikatne"/>
          <w:i w:val="0"/>
          <w:color w:val="auto"/>
          <w:sz w:val="22"/>
          <w:szCs w:val="24"/>
        </w:rPr>
        <w:t xml:space="preserve"> bez zaokrągleń, a zaokrąglaniu podlegał jedynie ostateczny wynik uzyskany dla danej oferty. Zastosować można zaokrąglenie do najbliższej liczby całkowitej, do części dziesiętnych ew. do setnych. Specyfikacja </w:t>
      </w:r>
      <w:r>
        <w:rPr>
          <w:rStyle w:val="Wyrnieniedelikatne"/>
          <w:i w:val="0"/>
          <w:color w:val="auto"/>
          <w:sz w:val="22"/>
          <w:szCs w:val="24"/>
        </w:rPr>
        <w:t xml:space="preserve">istotnych warunków zamówienia </w:t>
      </w:r>
      <w:r w:rsidRPr="00F76D75">
        <w:rPr>
          <w:rStyle w:val="Wyrnieniedelikatne"/>
          <w:i w:val="0"/>
          <w:color w:val="auto"/>
          <w:sz w:val="22"/>
          <w:szCs w:val="24"/>
        </w:rPr>
        <w:t xml:space="preserve">winna określać sposób zaokrąglania poparty przykładem: </w:t>
      </w:r>
      <w:r>
        <w:rPr>
          <w:rStyle w:val="Wyrnieniedelikatne"/>
          <w:color w:val="auto"/>
          <w:sz w:val="22"/>
          <w:szCs w:val="24"/>
        </w:rPr>
        <w:t>98,4</w:t>
      </w:r>
      <w:r w:rsidRPr="00F76D75">
        <w:rPr>
          <w:rStyle w:val="Wyrnieniedelikatne"/>
          <w:color w:val="auto"/>
          <w:sz w:val="22"/>
          <w:szCs w:val="24"/>
        </w:rPr>
        <w:t xml:space="preserve"> =&gt; 98; 98,7 =&gt; 99; 98,5 =&gt; 99</w:t>
      </w:r>
      <w:r w:rsidRPr="00F76D75">
        <w:rPr>
          <w:rStyle w:val="Wyrnieniedelikatne"/>
          <w:i w:val="0"/>
          <w:color w:val="auto"/>
          <w:sz w:val="22"/>
          <w:szCs w:val="24"/>
        </w:rPr>
        <w:t>.</w:t>
      </w:r>
    </w:p>
    <w:p w14:paraId="6CF11BAF" w14:textId="3BE5C0D5" w:rsidR="00B35696" w:rsidRDefault="00B35696" w:rsidP="00513EEE">
      <w:pPr>
        <w:jc w:val="both"/>
        <w:rPr>
          <w:rStyle w:val="Wyrnieniedelikatne"/>
        </w:rPr>
      </w:pPr>
      <w:r w:rsidRPr="00F76D75">
        <w:rPr>
          <w:rStyle w:val="Wyrnieniedelikatne"/>
          <w:i w:val="0"/>
          <w:color w:val="auto"/>
          <w:sz w:val="22"/>
          <w:szCs w:val="24"/>
        </w:rPr>
        <w:t>Specyfikacja powinna zawierać opis postępowania w przypadku, gdy po zastosowaniu określonego zaokrąglenia więcej, niż jedna oferta uzyska tę samą</w:t>
      </w:r>
      <w:r>
        <w:rPr>
          <w:rStyle w:val="Wyrnieniedelikatne"/>
          <w:i w:val="0"/>
          <w:color w:val="auto"/>
          <w:sz w:val="22"/>
          <w:szCs w:val="24"/>
        </w:rPr>
        <w:t>, a jednocześnie najwyższą liczbę punktów.</w:t>
      </w:r>
    </w:p>
    <w:p w14:paraId="2880B73B" w14:textId="7E4593E8" w:rsidR="00224245" w:rsidRDefault="00224245" w:rsidP="00BB0508">
      <w:pPr>
        <w:pStyle w:val="Nagwek2"/>
      </w:pPr>
      <w:r>
        <w:t>Sposób weryfikacji informacji podanej w ofercie</w:t>
      </w:r>
    </w:p>
    <w:p w14:paraId="4E481D3F" w14:textId="682B6811" w:rsidR="008C4652" w:rsidRDefault="008C4652" w:rsidP="008C4652">
      <w:pPr>
        <w:rPr>
          <w:rStyle w:val="Wyrnieniedelikatne"/>
        </w:rPr>
      </w:pPr>
      <w:r w:rsidRPr="00BB0508">
        <w:rPr>
          <w:rStyle w:val="Wyrnieniedelikatne"/>
        </w:rPr>
        <w:t>Określenie, w jaki sposób zamawiający dokonywać będzie weryfikacji danych podanych w ofercie np.: oświadczenie certyfikat, wynik testów, referencje</w:t>
      </w:r>
      <w:r w:rsidR="00A53EDB">
        <w:rPr>
          <w:rStyle w:val="Wyrnieniedelikatne"/>
        </w:rPr>
        <w:t xml:space="preserve"> -</w:t>
      </w:r>
      <w:r w:rsidRPr="00BB0508">
        <w:rPr>
          <w:rStyle w:val="Wyrnieniedelikatne"/>
        </w:rPr>
        <w:t xml:space="preserve"> z określeniem, czy wymagane będą oryginały.</w:t>
      </w:r>
    </w:p>
    <w:p w14:paraId="29B3FDF3" w14:textId="77777777" w:rsidR="00B35696" w:rsidRDefault="00B35696" w:rsidP="00B35696">
      <w:pPr>
        <w:jc w:val="both"/>
      </w:pPr>
      <w:r>
        <w:lastRenderedPageBreak/>
        <w:t>Zamawiający powinien w specyfikacji istotnych warunków zamówienia określić sposób weryfikacji wyników testów. Możliwe są różne rozwiązania, spośród których godne polecenia są następujące:</w:t>
      </w:r>
    </w:p>
    <w:p w14:paraId="79222446" w14:textId="77777777" w:rsid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>Zamawiający dokonuje wyboru oferty najkorzystniejszej i zawiera umowę wyłącznie na podstawie oświadczenia wykonawcy o wyniku testu.</w:t>
      </w:r>
    </w:p>
    <w:p w14:paraId="2DD678D5" w14:textId="77777777" w:rsid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>Zamawiający dokonuje wyboru na podstawie oświadczenia wykonawcy o wyniku testu, weryfikuje prawdziwość oświadczenia złożonego wraz z ofertą najkorzystniejszą, na podstawie dostarczonego protokołu z przeprowadzonych testów.</w:t>
      </w:r>
    </w:p>
    <w:p w14:paraId="64444265" w14:textId="6F068252" w:rsidR="00B35696" w:rsidRP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i/>
          <w:iCs/>
        </w:rPr>
      </w:pPr>
      <w:r>
        <w:t>Zamawiający dokonuje wyboru na podstawie oświadczenia wykonawcy o wyniku testu, weryfikuje prawdziwość oświadczenia złożonego wraz z ofertą najkorzystniejszą, poprzez przeprowadzenie testu zaoferowanego urządzenia.</w:t>
      </w:r>
    </w:p>
    <w:p w14:paraId="60857C54" w14:textId="07B6D7D6" w:rsidR="00C55D71" w:rsidRPr="00BB0508" w:rsidRDefault="00C55D71" w:rsidP="005726F6">
      <w:pPr>
        <w:spacing w:after="120"/>
        <w:jc w:val="both"/>
        <w:rPr>
          <w:rStyle w:val="Wyrnieniedelikatne"/>
        </w:rPr>
      </w:pPr>
    </w:p>
    <w:p w14:paraId="6D021531" w14:textId="3D052B4E" w:rsidR="00224245" w:rsidRDefault="00224245" w:rsidP="00BB0508">
      <w:pPr>
        <w:pStyle w:val="Nagwek2"/>
      </w:pPr>
      <w:r>
        <w:t>Wymagane kwalifikacje osób dokonujących oceny spełnienia kryterium</w:t>
      </w:r>
    </w:p>
    <w:p w14:paraId="0A5B24E8" w14:textId="31793624" w:rsidR="008C4652" w:rsidRDefault="008C4652" w:rsidP="00F64AE2">
      <w:pPr>
        <w:keepNext/>
        <w:rPr>
          <w:rStyle w:val="Wyrnieniedelikatne"/>
        </w:rPr>
      </w:pPr>
      <w:r w:rsidRPr="00BB0508">
        <w:rPr>
          <w:rStyle w:val="Wyrnieniedelikatne"/>
        </w:rPr>
        <w:t>Dla przypadków, gdy ocena danego kryterium wymaga specjalnych kwalifikacji – określenie tych kwalifikacji.</w:t>
      </w:r>
    </w:p>
    <w:p w14:paraId="121ECC23" w14:textId="487E3297" w:rsidR="00C55D71" w:rsidRDefault="00F041A1" w:rsidP="00F64AE2">
      <w:pPr>
        <w:jc w:val="both"/>
        <w:rPr>
          <w:rStyle w:val="Wyrnieniedelikatne"/>
          <w:i w:val="0"/>
          <w:color w:val="auto"/>
          <w:sz w:val="22"/>
        </w:rPr>
      </w:pPr>
      <w:sdt>
        <w:sdtPr>
          <w:rPr>
            <w:rStyle w:val="Wyrnieniedelikatne"/>
            <w:i w:val="0"/>
            <w:color w:val="auto"/>
            <w:sz w:val="22"/>
          </w:rPr>
          <w:id w:val="143870233"/>
          <w:placeholder>
            <w:docPart w:val="CFC39AAC758A45D0815DB95FA4EE8114"/>
          </w:placeholder>
        </w:sdtPr>
        <w:sdtEndPr>
          <w:rPr>
            <w:rStyle w:val="Wyrnieniedelikatne"/>
          </w:rPr>
        </w:sdtEndPr>
        <w:sdtContent>
          <w:r w:rsidR="005160D9" w:rsidRPr="00F76D75">
            <w:rPr>
              <w:rStyle w:val="Wyrnieniedelikatne"/>
              <w:i w:val="0"/>
              <w:color w:val="auto"/>
              <w:sz w:val="22"/>
            </w:rPr>
            <w:t xml:space="preserve">Kwalifikacje osób biorących udział w cenie ofert zależą od </w:t>
          </w:r>
          <w:r w:rsidR="00C15A89" w:rsidRPr="00F76D75">
            <w:rPr>
              <w:rStyle w:val="Wyrnieniedelikatne"/>
              <w:i w:val="0"/>
              <w:color w:val="auto"/>
              <w:sz w:val="22"/>
            </w:rPr>
            <w:t>przyjętego sposobu weryfikacji informacji złożonych w ofercie.</w:t>
          </w:r>
        </w:sdtContent>
      </w:sdt>
      <w:r w:rsidR="00A1239C">
        <w:rPr>
          <w:rStyle w:val="Wyrnieniedelikatne"/>
          <w:i w:val="0"/>
          <w:color w:val="auto"/>
          <w:sz w:val="22"/>
        </w:rPr>
        <w:t xml:space="preserve"> W przypadku (1) osoby dokonujące oceny ofert nie muszą posiadać żadnych specjalnych kwalifikacji. W przypadku (2) osoba dokonująca oceny powinna posiadać wiedzę pozwalającą na weryfikację danych przedstawionych w protokole z przeprowadzonych testów oraz</w:t>
      </w:r>
      <w:r w:rsidR="00F64AE2">
        <w:rPr>
          <w:rStyle w:val="Wyrnieniedelikatne"/>
          <w:i w:val="0"/>
          <w:color w:val="auto"/>
          <w:sz w:val="22"/>
        </w:rPr>
        <w:t xml:space="preserve"> ocenę</w:t>
      </w:r>
      <w:r w:rsidR="00A1239C">
        <w:rPr>
          <w:rStyle w:val="Wyrnieniedelikatne"/>
          <w:i w:val="0"/>
          <w:color w:val="auto"/>
          <w:sz w:val="22"/>
        </w:rPr>
        <w:t xml:space="preserve"> tego, czy protokół dotyczy </w:t>
      </w:r>
      <w:r w:rsidR="00F64AE2">
        <w:rPr>
          <w:rStyle w:val="Wyrnieniedelikatne"/>
          <w:i w:val="0"/>
          <w:color w:val="auto"/>
          <w:sz w:val="22"/>
        </w:rPr>
        <w:t xml:space="preserve">faktycznie </w:t>
      </w:r>
      <w:r w:rsidR="00A1239C">
        <w:rPr>
          <w:rStyle w:val="Wyrnieniedelikatne"/>
          <w:i w:val="0"/>
          <w:color w:val="auto"/>
          <w:sz w:val="22"/>
        </w:rPr>
        <w:t>zaoferowanego urządzenia</w:t>
      </w:r>
      <w:r w:rsidR="00F64AE2">
        <w:rPr>
          <w:rStyle w:val="Wyrnieniedelikatne"/>
          <w:i w:val="0"/>
          <w:color w:val="auto"/>
          <w:sz w:val="22"/>
        </w:rPr>
        <w:t>. W przypadku (3) konieczna jest umiejętność przeprowadzenia odpowiedniego testu, co wiąże się z posiadaniem wiedzy technicznej pozwalającej na pełne zrozumienie zasad testowania.</w:t>
      </w:r>
    </w:p>
    <w:p w14:paraId="7E543B87" w14:textId="77777777" w:rsidR="005423A2" w:rsidRDefault="005423A2" w:rsidP="005423A2">
      <w:r>
        <w:rPr>
          <w:rStyle w:val="Wyrnieniedelikatne"/>
          <w:i w:val="0"/>
          <w:color w:val="auto"/>
          <w:sz w:val="22"/>
        </w:rPr>
        <w:t xml:space="preserve">W przypadkach (2) i (3) sugerujemy przystąpienie do </w:t>
      </w:r>
      <w:r>
        <w:t xml:space="preserve">rządowej sieci współpracy </w:t>
      </w:r>
      <w:r w:rsidRPr="00863A1A">
        <w:t xml:space="preserve"> </w:t>
      </w:r>
      <w:r w:rsidRPr="00E80BD1">
        <w:rPr>
          <w:i/>
        </w:rPr>
        <w:t>BAPCo</w:t>
      </w:r>
      <w:r w:rsidRPr="00E80BD1">
        <w:rPr>
          <w:i/>
          <w:vertAlign w:val="superscript"/>
        </w:rPr>
        <w:t>®</w:t>
      </w:r>
      <w:r>
        <w:t xml:space="preserve"> (</w:t>
      </w:r>
      <w:r w:rsidRPr="00863A1A">
        <w:t>BAPCo Government Network</w:t>
      </w:r>
      <w:r>
        <w:t>)</w:t>
      </w:r>
    </w:p>
    <w:p w14:paraId="07B0ED33" w14:textId="77777777" w:rsidR="005423A2" w:rsidRDefault="005423A2" w:rsidP="00F64AE2">
      <w:pPr>
        <w:jc w:val="both"/>
        <w:rPr>
          <w:rStyle w:val="Wyrnieniedelikatne"/>
          <w:i w:val="0"/>
          <w:color w:val="auto"/>
          <w:sz w:val="22"/>
        </w:rPr>
      </w:pPr>
    </w:p>
    <w:p w14:paraId="4B3BD3F4" w14:textId="77777777" w:rsidR="005423A2" w:rsidRPr="00C15A89" w:rsidRDefault="005423A2" w:rsidP="00F64AE2">
      <w:pPr>
        <w:jc w:val="both"/>
        <w:rPr>
          <w:rStyle w:val="Wyrnieniedelikatne"/>
          <w:i w:val="0"/>
        </w:rPr>
      </w:pPr>
    </w:p>
    <w:p w14:paraId="40BB97A9" w14:textId="0FC80CD9" w:rsidR="00224245" w:rsidRDefault="005A6476" w:rsidP="00BB0508">
      <w:pPr>
        <w:pStyle w:val="Nagwek2"/>
      </w:pPr>
      <w:r>
        <w:t>Wpływ zastosowania</w:t>
      </w:r>
      <w:r w:rsidR="00224245">
        <w:t xml:space="preserve"> kryterium </w:t>
      </w:r>
      <w:r>
        <w:t>na klauzule umowne</w:t>
      </w:r>
    </w:p>
    <w:p w14:paraId="08A1A818" w14:textId="74989EC4" w:rsidR="008C4652" w:rsidRDefault="008C4652" w:rsidP="00D8714F">
      <w:pPr>
        <w:jc w:val="both"/>
        <w:rPr>
          <w:rStyle w:val="Wyrnieniedelikatne"/>
        </w:rPr>
      </w:pPr>
      <w:r w:rsidRPr="00BB0508">
        <w:rPr>
          <w:rStyle w:val="Wyrnieniedelikatne"/>
        </w:rPr>
        <w:t xml:space="preserve">Klauzule umowne, które muszą być wprowadzone, w przypadku zastosowania danego kryterium. Np. w przypadku, gdy weryfikacja ocenianej cechy możliwa jest dopiero po zrealizowaniu zamówienia – określenie konsekwencji w przypadku, gdy przedmiot zamówienia nie posiada danej cechy. </w:t>
      </w:r>
    </w:p>
    <w:p w14:paraId="1E0FA962" w14:textId="2CD45AFD" w:rsidR="00513EEE" w:rsidRDefault="00513EEE" w:rsidP="00513EEE">
      <w:pPr>
        <w:jc w:val="both"/>
        <w:rPr>
          <w:rStyle w:val="Wyrnieniedelikatne"/>
          <w:i w:val="0"/>
          <w:color w:val="auto"/>
          <w:sz w:val="22"/>
        </w:rPr>
      </w:pPr>
      <w:r w:rsidRPr="00513EEE">
        <w:rPr>
          <w:rStyle w:val="Wyrnieniedelikatne"/>
          <w:i w:val="0"/>
          <w:color w:val="auto"/>
          <w:sz w:val="22"/>
        </w:rPr>
        <w:t>W sytuacji, gdy</w:t>
      </w:r>
      <w:r>
        <w:rPr>
          <w:rStyle w:val="Wyrnieniedelikatne"/>
          <w:i w:val="0"/>
          <w:color w:val="auto"/>
          <w:sz w:val="22"/>
        </w:rPr>
        <w:t xml:space="preserve"> faktyczna weryfikacja wydajności nie jest dokonywana przed zawarciem umowy, konieczne jest wprowadzenie do umowy klauzul wprowad</w:t>
      </w:r>
      <w:r w:rsidR="00D8714F">
        <w:rPr>
          <w:rStyle w:val="Wyrnieniedelikatne"/>
          <w:i w:val="0"/>
          <w:color w:val="auto"/>
          <w:sz w:val="22"/>
        </w:rPr>
        <w:t>zających ściśle określone konsekwencje</w:t>
      </w:r>
      <w:r w:rsidR="00C82FED">
        <w:rPr>
          <w:rStyle w:val="Wyrnieniedelikatne"/>
          <w:i w:val="0"/>
          <w:color w:val="auto"/>
          <w:sz w:val="22"/>
        </w:rPr>
        <w:t xml:space="preserve"> (kary umowne)</w:t>
      </w:r>
      <w:r>
        <w:rPr>
          <w:rStyle w:val="Wyrnieniedelikatne"/>
          <w:i w:val="0"/>
          <w:color w:val="auto"/>
          <w:sz w:val="22"/>
        </w:rPr>
        <w:t>, które poniesie wykonawca w przypadku, gdy okaże się, że dostarczone urządzenia mają wydajność mniejszą od deklarowanej przez wykonawcę.</w:t>
      </w:r>
    </w:p>
    <w:p w14:paraId="69B3688F" w14:textId="1D16C322" w:rsidR="00B15ED7" w:rsidRDefault="00B15ED7" w:rsidP="00513EEE">
      <w:pPr>
        <w:jc w:val="both"/>
        <w:rPr>
          <w:rStyle w:val="Wyrnieniedelikatne"/>
          <w:i w:val="0"/>
          <w:color w:val="auto"/>
          <w:sz w:val="22"/>
        </w:rPr>
      </w:pPr>
      <w:r>
        <w:rPr>
          <w:rStyle w:val="Wyrnieniedelikatne"/>
          <w:i w:val="0"/>
          <w:color w:val="auto"/>
          <w:sz w:val="22"/>
        </w:rPr>
        <w:t>Zastosowanie kar umownych oraz ich wysokość powinna uwzględniać wpływ zawyżenia zadeklarowanej wydajności na wynik postępowania oraz to, czy faktyczna wydajność spełnia wymagania minimalne zamawiającego.</w:t>
      </w:r>
    </w:p>
    <w:p w14:paraId="0D489E43" w14:textId="7EF28694" w:rsidR="00B15ED7" w:rsidRDefault="00B15ED7" w:rsidP="00513EEE">
      <w:pPr>
        <w:jc w:val="both"/>
        <w:rPr>
          <w:rStyle w:val="Wyrnieniedelikatne"/>
          <w:i w:val="0"/>
          <w:color w:val="auto"/>
          <w:sz w:val="22"/>
        </w:rPr>
      </w:pPr>
      <w:r>
        <w:rPr>
          <w:rStyle w:val="Wyrnieniedelikatne"/>
          <w:i w:val="0"/>
          <w:color w:val="auto"/>
          <w:sz w:val="22"/>
        </w:rPr>
        <w:t>Uwzględniając powyższe zamawiający powinien w umowie zawrzeć klauzulę o możliwości przeprowadzenia testu, zobowiązującą zamawiającego do poinformowania wykonawcy o terminie i zaproszenia go do udziału w teście. W przypadku prawidłowego powiadomienia wykonawcy test może być przeprowadzony także bez jego udziału.</w:t>
      </w:r>
    </w:p>
    <w:p w14:paraId="30FEBB75" w14:textId="77777777" w:rsidR="009C3C08" w:rsidRPr="00975607" w:rsidRDefault="009C3C08" w:rsidP="00975607">
      <w:pPr>
        <w:pStyle w:val="Akapitzlist"/>
        <w:numPr>
          <w:ilvl w:val="0"/>
          <w:numId w:val="4"/>
        </w:numPr>
        <w:jc w:val="both"/>
        <w:rPr>
          <w:rStyle w:val="Wyrnieniedelikatne"/>
          <w:i w:val="0"/>
          <w:color w:val="auto"/>
          <w:sz w:val="22"/>
        </w:rPr>
      </w:pPr>
      <w:r w:rsidRPr="00975607">
        <w:rPr>
          <w:rStyle w:val="Wyrnieniedelikatne"/>
          <w:i w:val="0"/>
          <w:color w:val="auto"/>
          <w:sz w:val="22"/>
        </w:rPr>
        <w:lastRenderedPageBreak/>
        <w:t>W przypadku, gdy wynik testu jest mniejszy od deklarowanego w ofercie, ale jego faktyczna wartość nie zmieniłaby kolejności ofert – kary umowne nie są naliczane.</w:t>
      </w:r>
    </w:p>
    <w:p w14:paraId="376A48A7" w14:textId="257B3C61" w:rsidR="009C3C08" w:rsidRPr="00975607" w:rsidRDefault="009C3C08" w:rsidP="00975607">
      <w:pPr>
        <w:pStyle w:val="Akapitzlist"/>
        <w:numPr>
          <w:ilvl w:val="0"/>
          <w:numId w:val="4"/>
        </w:numPr>
        <w:jc w:val="both"/>
        <w:rPr>
          <w:rStyle w:val="Wyrnieniedelikatne"/>
          <w:i w:val="0"/>
          <w:color w:val="auto"/>
          <w:sz w:val="22"/>
        </w:rPr>
      </w:pPr>
      <w:r w:rsidRPr="00975607">
        <w:rPr>
          <w:rStyle w:val="Wyrnieniedelikatne"/>
          <w:i w:val="0"/>
          <w:color w:val="auto"/>
          <w:sz w:val="22"/>
        </w:rPr>
        <w:t xml:space="preserve">W przypadku, gdy wynik testu jest mniejszy od deklarowanego w ofercie i jego faktyczna wartość zmieniłaby kolejności ofert – kary umowne są naliczane. Ich wysokość powinna odpowiadać </w:t>
      </w:r>
      <w:r w:rsidR="00663FFC" w:rsidRPr="00975607">
        <w:rPr>
          <w:rStyle w:val="Wyrnieniedelikatne"/>
          <w:i w:val="0"/>
          <w:color w:val="auto"/>
          <w:sz w:val="22"/>
        </w:rPr>
        <w:t xml:space="preserve">powiększonej o 30% </w:t>
      </w:r>
      <w:r w:rsidRPr="00975607">
        <w:rPr>
          <w:rStyle w:val="Wyrnieniedelikatne"/>
          <w:i w:val="0"/>
          <w:color w:val="auto"/>
          <w:sz w:val="22"/>
        </w:rPr>
        <w:t>różnicy ceny ofertowej oraz ceny, którą musiałby zaoferować wykonawca by przy faktycznym wyniku testu by otrzymać tę samą liczbę punktów, którą otrzymał uzyskując zamówienie.</w:t>
      </w:r>
      <w:r w:rsidR="00663FFC" w:rsidRPr="00975607">
        <w:rPr>
          <w:rStyle w:val="Wyrnieniedelikatne"/>
          <w:i w:val="0"/>
          <w:color w:val="auto"/>
          <w:sz w:val="22"/>
        </w:rPr>
        <w:t xml:space="preserve"> Podany procent jest wartością przykładową i ma na celu zniechęcić nierzetelnych wykonawców do zawyżania wyników testów.</w:t>
      </w:r>
    </w:p>
    <w:p w14:paraId="5D43AD99" w14:textId="31A6019D" w:rsidR="00975607" w:rsidRPr="00DA3466" w:rsidRDefault="00663FFC" w:rsidP="00975607">
      <w:pPr>
        <w:pStyle w:val="Akapitzlist"/>
        <w:numPr>
          <w:ilvl w:val="0"/>
          <w:numId w:val="4"/>
        </w:numPr>
        <w:jc w:val="both"/>
        <w:rPr>
          <w:iCs/>
        </w:rPr>
      </w:pPr>
      <w:r w:rsidRPr="00975607">
        <w:rPr>
          <w:rStyle w:val="Wyrnieniedelikatne"/>
          <w:i w:val="0"/>
          <w:color w:val="auto"/>
          <w:sz w:val="22"/>
        </w:rPr>
        <w:t xml:space="preserve">W przypadku, gdy wynik testu jest mniejszy od deklarowanego w ofercie i jego faktyczna wartość jest niższa od minimalnych wymagań zamawiającego – </w:t>
      </w:r>
      <w:r w:rsidR="00975607">
        <w:rPr>
          <w:rStyle w:val="Wyrnieniedelikatne"/>
          <w:i w:val="0"/>
          <w:color w:val="auto"/>
          <w:sz w:val="22"/>
        </w:rPr>
        <w:t xml:space="preserve">zamawiający wzywa wykonawcę do wymiany urządzeń na spełniające wymagania. W przypadku bezskuteczności wezwania </w:t>
      </w:r>
      <w:r w:rsidRPr="00975607">
        <w:rPr>
          <w:rStyle w:val="Wyrnieniedelikatne"/>
          <w:i w:val="0"/>
          <w:color w:val="auto"/>
          <w:sz w:val="22"/>
        </w:rPr>
        <w:t xml:space="preserve">konsekwencje powinny być tożsame z przyjętymi w umowie dla przypadku niezrealizowania dostawy przez wykonawcę. W takim przypadku umowa powinna przewidywać </w:t>
      </w:r>
      <w:r w:rsidR="00975607">
        <w:rPr>
          <w:rStyle w:val="Wyrnieniedelikatne"/>
          <w:i w:val="0"/>
          <w:color w:val="auto"/>
          <w:sz w:val="22"/>
        </w:rPr>
        <w:t xml:space="preserve">również </w:t>
      </w:r>
      <w:r w:rsidRPr="00975607">
        <w:rPr>
          <w:rStyle w:val="Wyrnieniedelikatne"/>
          <w:i w:val="0"/>
          <w:color w:val="auto"/>
          <w:sz w:val="22"/>
        </w:rPr>
        <w:t xml:space="preserve">zwrot </w:t>
      </w:r>
      <w:r w:rsidR="002F082D" w:rsidRPr="00975607">
        <w:rPr>
          <w:rStyle w:val="Wyrnieniedelikatne"/>
          <w:i w:val="0"/>
          <w:color w:val="auto"/>
          <w:sz w:val="22"/>
        </w:rPr>
        <w:t>kwestionowanych</w:t>
      </w:r>
      <w:r w:rsidRPr="00975607">
        <w:rPr>
          <w:rStyle w:val="Wyrnieniedelikatne"/>
          <w:i w:val="0"/>
          <w:color w:val="auto"/>
          <w:sz w:val="22"/>
        </w:rPr>
        <w:t xml:space="preserve"> urządzeń.</w:t>
      </w:r>
    </w:p>
    <w:sectPr w:rsidR="00975607" w:rsidRPr="00DA34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F44D8" w14:textId="77777777" w:rsidR="00F041A1" w:rsidRDefault="00F041A1" w:rsidP="00A050AD">
      <w:pPr>
        <w:spacing w:after="0" w:line="240" w:lineRule="auto"/>
      </w:pPr>
      <w:r>
        <w:separator/>
      </w:r>
    </w:p>
  </w:endnote>
  <w:endnote w:type="continuationSeparator" w:id="0">
    <w:p w14:paraId="67739F74" w14:textId="77777777" w:rsidR="00F041A1" w:rsidRDefault="00F041A1" w:rsidP="00A0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7367A" w14:textId="77777777" w:rsidR="00F041A1" w:rsidRDefault="00F041A1" w:rsidP="00A050AD">
      <w:pPr>
        <w:spacing w:after="0" w:line="240" w:lineRule="auto"/>
      </w:pPr>
      <w:r>
        <w:separator/>
      </w:r>
    </w:p>
  </w:footnote>
  <w:footnote w:type="continuationSeparator" w:id="0">
    <w:p w14:paraId="4A973A5B" w14:textId="77777777" w:rsidR="00F041A1" w:rsidRDefault="00F041A1" w:rsidP="00A0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3EA0" w14:textId="7F91995F" w:rsidR="00B35696" w:rsidRDefault="00B35696">
    <w:pPr>
      <w:pStyle w:val="Nagwek"/>
    </w:pPr>
    <w:r>
      <w:rPr>
        <w:noProof/>
        <w:lang w:eastAsia="pl-PL"/>
      </w:rPr>
      <w:drawing>
        <wp:inline distT="0" distB="0" distL="0" distR="0" wp14:anchorId="0FB5CDF9" wp14:editId="67C50BED">
          <wp:extent cx="952500" cy="466725"/>
          <wp:effectExtent l="0" t="0" r="0" b="9525"/>
          <wp:docPr id="1" name="Obraz 1" descr="Obraz zawierający tekst, zegar,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it_logo_100x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D0"/>
    <w:multiLevelType w:val="hybridMultilevel"/>
    <w:tmpl w:val="2378FB12"/>
    <w:lvl w:ilvl="0" w:tplc="8A28996E">
      <w:start w:val="1"/>
      <w:numFmt w:val="decimal"/>
      <w:lvlText w:val="%1)"/>
      <w:lvlJc w:val="left"/>
      <w:pPr>
        <w:ind w:left="360" w:hanging="360"/>
      </w:pPr>
      <w:rPr>
        <w:b w:val="0"/>
        <w:i w:val="0"/>
        <w:caps w:val="0"/>
        <w:smallCaps w:val="0"/>
        <w:color w:val="000000" w:themeColor="text1"/>
        <w:spacing w:val="0"/>
        <w:sz w:val="22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664B8"/>
    <w:multiLevelType w:val="hybridMultilevel"/>
    <w:tmpl w:val="562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4E53"/>
    <w:multiLevelType w:val="hybridMultilevel"/>
    <w:tmpl w:val="C2FE09D6"/>
    <w:lvl w:ilvl="0" w:tplc="CFD6E03E">
      <w:start w:val="1"/>
      <w:numFmt w:val="lowerLetter"/>
      <w:pStyle w:val="Nagwek3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8A04A4"/>
    <w:multiLevelType w:val="hybridMultilevel"/>
    <w:tmpl w:val="88B8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45"/>
    <w:rsid w:val="00016AFC"/>
    <w:rsid w:val="00026A35"/>
    <w:rsid w:val="00036FD7"/>
    <w:rsid w:val="000C3C27"/>
    <w:rsid w:val="00116C0C"/>
    <w:rsid w:val="00152A82"/>
    <w:rsid w:val="001665E7"/>
    <w:rsid w:val="0018706E"/>
    <w:rsid w:val="002152F9"/>
    <w:rsid w:val="00224245"/>
    <w:rsid w:val="002514B6"/>
    <w:rsid w:val="00291137"/>
    <w:rsid w:val="002A26A7"/>
    <w:rsid w:val="002A4FC0"/>
    <w:rsid w:val="002C4594"/>
    <w:rsid w:val="002C509E"/>
    <w:rsid w:val="002E630D"/>
    <w:rsid w:val="002F082D"/>
    <w:rsid w:val="0030184E"/>
    <w:rsid w:val="003535B6"/>
    <w:rsid w:val="00396D38"/>
    <w:rsid w:val="003D4724"/>
    <w:rsid w:val="00417AA8"/>
    <w:rsid w:val="004712FB"/>
    <w:rsid w:val="004C54B7"/>
    <w:rsid w:val="004C5B25"/>
    <w:rsid w:val="004E73B5"/>
    <w:rsid w:val="00513EEE"/>
    <w:rsid w:val="005146DC"/>
    <w:rsid w:val="005160D9"/>
    <w:rsid w:val="00534E88"/>
    <w:rsid w:val="005423A2"/>
    <w:rsid w:val="00543407"/>
    <w:rsid w:val="00545B3B"/>
    <w:rsid w:val="005726F6"/>
    <w:rsid w:val="0058663B"/>
    <w:rsid w:val="005A6476"/>
    <w:rsid w:val="006171F3"/>
    <w:rsid w:val="00627767"/>
    <w:rsid w:val="0066305D"/>
    <w:rsid w:val="00663FFC"/>
    <w:rsid w:val="006903B7"/>
    <w:rsid w:val="00697C69"/>
    <w:rsid w:val="006C4AF4"/>
    <w:rsid w:val="006C7C20"/>
    <w:rsid w:val="00722A29"/>
    <w:rsid w:val="007357CE"/>
    <w:rsid w:val="007455B5"/>
    <w:rsid w:val="00752C6E"/>
    <w:rsid w:val="00787E12"/>
    <w:rsid w:val="007B20B0"/>
    <w:rsid w:val="007D0A75"/>
    <w:rsid w:val="007F065E"/>
    <w:rsid w:val="007F7AC0"/>
    <w:rsid w:val="008324FC"/>
    <w:rsid w:val="00837A22"/>
    <w:rsid w:val="008438A9"/>
    <w:rsid w:val="008467F8"/>
    <w:rsid w:val="00863A1A"/>
    <w:rsid w:val="008B6B3B"/>
    <w:rsid w:val="008C4652"/>
    <w:rsid w:val="008C4801"/>
    <w:rsid w:val="008C5DE2"/>
    <w:rsid w:val="008F3132"/>
    <w:rsid w:val="008F370C"/>
    <w:rsid w:val="009167D4"/>
    <w:rsid w:val="00940037"/>
    <w:rsid w:val="00953FA3"/>
    <w:rsid w:val="00966DDA"/>
    <w:rsid w:val="00975607"/>
    <w:rsid w:val="009A387A"/>
    <w:rsid w:val="009C3C08"/>
    <w:rsid w:val="009D0C6F"/>
    <w:rsid w:val="009F439F"/>
    <w:rsid w:val="00A050AD"/>
    <w:rsid w:val="00A1239C"/>
    <w:rsid w:val="00A36B88"/>
    <w:rsid w:val="00A53EDB"/>
    <w:rsid w:val="00A710E6"/>
    <w:rsid w:val="00AA28B3"/>
    <w:rsid w:val="00B06376"/>
    <w:rsid w:val="00B15ED7"/>
    <w:rsid w:val="00B21A0E"/>
    <w:rsid w:val="00B2550F"/>
    <w:rsid w:val="00B25ECD"/>
    <w:rsid w:val="00B35696"/>
    <w:rsid w:val="00B85A99"/>
    <w:rsid w:val="00BB0508"/>
    <w:rsid w:val="00BE3E40"/>
    <w:rsid w:val="00BF2FF0"/>
    <w:rsid w:val="00C11007"/>
    <w:rsid w:val="00C15A89"/>
    <w:rsid w:val="00C346FE"/>
    <w:rsid w:val="00C55282"/>
    <w:rsid w:val="00C55D71"/>
    <w:rsid w:val="00C82FED"/>
    <w:rsid w:val="00C90B18"/>
    <w:rsid w:val="00CA6581"/>
    <w:rsid w:val="00CB336C"/>
    <w:rsid w:val="00CE171E"/>
    <w:rsid w:val="00CF278A"/>
    <w:rsid w:val="00D16BE7"/>
    <w:rsid w:val="00D8714F"/>
    <w:rsid w:val="00D87477"/>
    <w:rsid w:val="00DA3466"/>
    <w:rsid w:val="00DE7F54"/>
    <w:rsid w:val="00DF6156"/>
    <w:rsid w:val="00E13618"/>
    <w:rsid w:val="00E4139D"/>
    <w:rsid w:val="00E544AA"/>
    <w:rsid w:val="00E604A1"/>
    <w:rsid w:val="00E72647"/>
    <w:rsid w:val="00E80BD1"/>
    <w:rsid w:val="00E84D32"/>
    <w:rsid w:val="00F041A1"/>
    <w:rsid w:val="00F124F6"/>
    <w:rsid w:val="00F47715"/>
    <w:rsid w:val="00F64AE2"/>
    <w:rsid w:val="00F76D75"/>
    <w:rsid w:val="00F9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1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2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508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508"/>
    <w:pPr>
      <w:keepNext/>
      <w:keepLines/>
      <w:numPr>
        <w:numId w:val="2"/>
      </w:numPr>
      <w:spacing w:before="40" w:after="8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0508"/>
    <w:rPr>
      <w:rFonts w:asciiTheme="majorHAnsi" w:eastAsiaTheme="majorEastAsia" w:hAnsiTheme="majorHAnsi" w:cstheme="majorBidi"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4C5B25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BB0508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A6581"/>
    <w:rPr>
      <w:i/>
      <w:iCs/>
      <w:color w:val="404040" w:themeColor="text1" w:themeTint="BF"/>
      <w:sz w:val="18"/>
    </w:rPr>
  </w:style>
  <w:style w:type="character" w:styleId="Wyrnienieintensywne">
    <w:name w:val="Intense Emphasis"/>
    <w:basedOn w:val="Domylnaczcionkaakapitu"/>
    <w:uiPriority w:val="21"/>
    <w:qFormat/>
    <w:rsid w:val="00BB0508"/>
    <w:rPr>
      <w:iCs/>
      <w:color w:val="4472C4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735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0AD"/>
  </w:style>
  <w:style w:type="paragraph" w:styleId="Stopka">
    <w:name w:val="footer"/>
    <w:basedOn w:val="Normalny"/>
    <w:link w:val="Stopka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0AD"/>
  </w:style>
  <w:style w:type="character" w:styleId="Hipercze">
    <w:name w:val="Hyperlink"/>
    <w:basedOn w:val="Domylnaczcionkaakapitu"/>
    <w:uiPriority w:val="99"/>
    <w:unhideWhenUsed/>
    <w:rsid w:val="008B6B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B3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B6B3B"/>
    <w:rPr>
      <w:color w:val="954F72" w:themeColor="followedHyperlink"/>
      <w:u w:val="single"/>
    </w:rPr>
  </w:style>
  <w:style w:type="table" w:styleId="Tabelasiatki1jasna">
    <w:name w:val="Grid Table 1 Light"/>
    <w:basedOn w:val="Standardowy"/>
    <w:uiPriority w:val="46"/>
    <w:rsid w:val="00C90B1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4E73B5"/>
    <w:pPr>
      <w:ind w:left="720"/>
      <w:contextualSpacing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exa.pl/piit/home/dobre-praktyki/rekomendacje-piit/testy-aplik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C39AAC758A45D0815DB95FA4EE8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E17F0-7884-4EBC-926B-D77271CF6E9E}"/>
      </w:docPartPr>
      <w:docPartBody>
        <w:p w:rsidR="00CA448E" w:rsidRDefault="00A64088" w:rsidP="00A64088">
          <w:pPr>
            <w:pStyle w:val="CFC39AAC758A45D0815DB95FA4EE8114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8"/>
    <w:rsid w:val="006E6EDF"/>
    <w:rsid w:val="00A64088"/>
    <w:rsid w:val="00AD43B7"/>
    <w:rsid w:val="00B82E50"/>
    <w:rsid w:val="00B94CA4"/>
    <w:rsid w:val="00CA448E"/>
    <w:rsid w:val="00E06D03"/>
    <w:rsid w:val="00E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4088"/>
    <w:rPr>
      <w:color w:val="808080"/>
    </w:rPr>
  </w:style>
  <w:style w:type="paragraph" w:customStyle="1" w:styleId="A5902F2FD7474930B6BB7A17B65E34D8">
    <w:name w:val="A5902F2FD7474930B6BB7A17B65E34D8"/>
    <w:rsid w:val="00A64088"/>
    <w:rPr>
      <w:rFonts w:eastAsiaTheme="minorHAnsi"/>
      <w:lang w:eastAsia="en-US"/>
    </w:rPr>
  </w:style>
  <w:style w:type="paragraph" w:customStyle="1" w:styleId="2F9FB3699BE546C7BD8AE92BE51A33DB">
    <w:name w:val="2F9FB3699BE546C7BD8AE92BE51A33DB"/>
    <w:rsid w:val="00A64088"/>
    <w:rPr>
      <w:rFonts w:eastAsiaTheme="minorHAnsi"/>
      <w:lang w:eastAsia="en-US"/>
    </w:rPr>
  </w:style>
  <w:style w:type="paragraph" w:customStyle="1" w:styleId="D9F463BE043746D696BC6FFBA35C73C4">
    <w:name w:val="D9F463BE043746D696BC6FFBA35C73C4"/>
    <w:rsid w:val="00A64088"/>
  </w:style>
  <w:style w:type="paragraph" w:customStyle="1" w:styleId="2F9FB3699BE546C7BD8AE92BE51A33DB1">
    <w:name w:val="2F9FB3699BE546C7BD8AE92BE51A33DB1"/>
    <w:rsid w:val="00A64088"/>
    <w:rPr>
      <w:rFonts w:eastAsiaTheme="minorHAnsi"/>
      <w:lang w:eastAsia="en-US"/>
    </w:rPr>
  </w:style>
  <w:style w:type="paragraph" w:customStyle="1" w:styleId="78D271D2D1AB4F2C93874B3895758556">
    <w:name w:val="78D271D2D1AB4F2C93874B3895758556"/>
    <w:rsid w:val="00A64088"/>
  </w:style>
  <w:style w:type="paragraph" w:customStyle="1" w:styleId="36B178BD2D6242C1B262D5B7138CB8D6">
    <w:name w:val="36B178BD2D6242C1B262D5B7138CB8D6"/>
    <w:rsid w:val="00A64088"/>
  </w:style>
  <w:style w:type="character" w:styleId="Wyrnienieintensywne">
    <w:name w:val="Intense Emphasis"/>
    <w:basedOn w:val="Domylnaczcionkaakapitu"/>
    <w:uiPriority w:val="21"/>
    <w:qFormat/>
    <w:rsid w:val="00CA448E"/>
    <w:rPr>
      <w:iCs/>
      <w:color w:val="4472C4" w:themeColor="accent1"/>
    </w:rPr>
  </w:style>
  <w:style w:type="paragraph" w:customStyle="1" w:styleId="C632D2C00E8A4FEF86DC958BE6C4E292">
    <w:name w:val="C632D2C00E8A4FEF86DC958BE6C4E292"/>
    <w:rsid w:val="00A64088"/>
    <w:rPr>
      <w:rFonts w:eastAsiaTheme="minorHAnsi"/>
      <w:lang w:eastAsia="en-US"/>
    </w:rPr>
  </w:style>
  <w:style w:type="paragraph" w:customStyle="1" w:styleId="78D271D2D1AB4F2C93874B38957585561">
    <w:name w:val="78D271D2D1AB4F2C93874B38957585561"/>
    <w:rsid w:val="00A64088"/>
    <w:rPr>
      <w:rFonts w:eastAsiaTheme="minorHAnsi"/>
      <w:lang w:eastAsia="en-US"/>
    </w:rPr>
  </w:style>
  <w:style w:type="paragraph" w:customStyle="1" w:styleId="36B178BD2D6242C1B262D5B7138CB8D61">
    <w:name w:val="36B178BD2D6242C1B262D5B7138CB8D61"/>
    <w:rsid w:val="00A64088"/>
    <w:rPr>
      <w:rFonts w:eastAsiaTheme="minorHAnsi"/>
      <w:lang w:eastAsia="en-US"/>
    </w:rPr>
  </w:style>
  <w:style w:type="paragraph" w:customStyle="1" w:styleId="D53529A2761744C390FF4B37298FA7C0">
    <w:name w:val="D53529A2761744C390FF4B37298FA7C0"/>
    <w:rsid w:val="00A64088"/>
    <w:rPr>
      <w:rFonts w:eastAsiaTheme="minorHAnsi"/>
      <w:lang w:eastAsia="en-US"/>
    </w:rPr>
  </w:style>
  <w:style w:type="paragraph" w:customStyle="1" w:styleId="E281FB3CDD6F44D79F06F6939335E111">
    <w:name w:val="E281FB3CDD6F44D79F06F6939335E111"/>
    <w:rsid w:val="00A64088"/>
    <w:rPr>
      <w:rFonts w:eastAsiaTheme="minorHAnsi"/>
      <w:lang w:eastAsia="en-US"/>
    </w:rPr>
  </w:style>
  <w:style w:type="paragraph" w:customStyle="1" w:styleId="E0B2D7D5510743928D6A6692B5DF2433">
    <w:name w:val="E0B2D7D5510743928D6A6692B5DF2433"/>
    <w:rsid w:val="00A64088"/>
    <w:rPr>
      <w:rFonts w:eastAsiaTheme="minorHAnsi"/>
      <w:lang w:eastAsia="en-US"/>
    </w:rPr>
  </w:style>
  <w:style w:type="paragraph" w:customStyle="1" w:styleId="95752A97B00848F7A34304F429C7B068">
    <w:name w:val="95752A97B00848F7A34304F429C7B068"/>
    <w:rsid w:val="00A64088"/>
    <w:rPr>
      <w:rFonts w:eastAsiaTheme="minorHAnsi"/>
      <w:lang w:eastAsia="en-US"/>
    </w:rPr>
  </w:style>
  <w:style w:type="paragraph" w:customStyle="1" w:styleId="D08EB06A5450417EB619A0D48AD3E342">
    <w:name w:val="D08EB06A5450417EB619A0D48AD3E342"/>
    <w:rsid w:val="00A64088"/>
    <w:rPr>
      <w:rFonts w:eastAsiaTheme="minorHAnsi"/>
      <w:lang w:eastAsia="en-US"/>
    </w:rPr>
  </w:style>
  <w:style w:type="paragraph" w:customStyle="1" w:styleId="26AB1AECD29841ECA314F397945AB577">
    <w:name w:val="26AB1AECD29841ECA314F397945AB577"/>
    <w:rsid w:val="00A64088"/>
    <w:rPr>
      <w:rFonts w:eastAsiaTheme="minorHAnsi"/>
      <w:lang w:eastAsia="en-US"/>
    </w:rPr>
  </w:style>
  <w:style w:type="paragraph" w:customStyle="1" w:styleId="CFC39AAC758A45D0815DB95FA4EE8114">
    <w:name w:val="CFC39AAC758A45D0815DB95FA4EE8114"/>
    <w:rsid w:val="00A64088"/>
    <w:rPr>
      <w:rFonts w:eastAsiaTheme="minorHAnsi"/>
      <w:lang w:eastAsia="en-US"/>
    </w:rPr>
  </w:style>
  <w:style w:type="paragraph" w:customStyle="1" w:styleId="27E39F802BB44D44AFA87EE531A8C60F">
    <w:name w:val="27E39F802BB44D44AFA87EE531A8C60F"/>
    <w:rsid w:val="00A64088"/>
    <w:rPr>
      <w:rFonts w:eastAsiaTheme="minorHAnsi"/>
      <w:lang w:eastAsia="en-US"/>
    </w:rPr>
  </w:style>
  <w:style w:type="paragraph" w:customStyle="1" w:styleId="C632D2C00E8A4FEF86DC958BE6C4E2921">
    <w:name w:val="C632D2C00E8A4FEF86DC958BE6C4E2921"/>
    <w:rsid w:val="00A64088"/>
    <w:rPr>
      <w:rFonts w:eastAsiaTheme="minorHAnsi"/>
      <w:lang w:eastAsia="en-US"/>
    </w:rPr>
  </w:style>
  <w:style w:type="paragraph" w:customStyle="1" w:styleId="78D271D2D1AB4F2C93874B38957585562">
    <w:name w:val="78D271D2D1AB4F2C93874B38957585562"/>
    <w:rsid w:val="00A64088"/>
    <w:rPr>
      <w:rFonts w:eastAsiaTheme="minorHAnsi"/>
      <w:lang w:eastAsia="en-US"/>
    </w:rPr>
  </w:style>
  <w:style w:type="paragraph" w:customStyle="1" w:styleId="36B178BD2D6242C1B262D5B7138CB8D62">
    <w:name w:val="36B178BD2D6242C1B262D5B7138CB8D62"/>
    <w:rsid w:val="00A64088"/>
    <w:rPr>
      <w:rFonts w:eastAsiaTheme="minorHAnsi"/>
      <w:lang w:eastAsia="en-US"/>
    </w:rPr>
  </w:style>
  <w:style w:type="paragraph" w:customStyle="1" w:styleId="D53529A2761744C390FF4B37298FA7C01">
    <w:name w:val="D53529A2761744C390FF4B37298FA7C01"/>
    <w:rsid w:val="00A64088"/>
    <w:rPr>
      <w:rFonts w:eastAsiaTheme="minorHAnsi"/>
      <w:lang w:eastAsia="en-US"/>
    </w:rPr>
  </w:style>
  <w:style w:type="paragraph" w:customStyle="1" w:styleId="E281FB3CDD6F44D79F06F6939335E1111">
    <w:name w:val="E281FB3CDD6F44D79F06F6939335E1111"/>
    <w:rsid w:val="00A64088"/>
    <w:rPr>
      <w:rFonts w:eastAsiaTheme="minorHAnsi"/>
      <w:lang w:eastAsia="en-US"/>
    </w:rPr>
  </w:style>
  <w:style w:type="paragraph" w:customStyle="1" w:styleId="E0B2D7D5510743928D6A6692B5DF24331">
    <w:name w:val="E0B2D7D5510743928D6A6692B5DF24331"/>
    <w:rsid w:val="00A64088"/>
    <w:rPr>
      <w:rFonts w:eastAsiaTheme="minorHAnsi"/>
      <w:lang w:eastAsia="en-US"/>
    </w:rPr>
  </w:style>
  <w:style w:type="paragraph" w:customStyle="1" w:styleId="95752A97B00848F7A34304F429C7B0681">
    <w:name w:val="95752A97B00848F7A34304F429C7B0681"/>
    <w:rsid w:val="00A64088"/>
    <w:rPr>
      <w:rFonts w:eastAsiaTheme="minorHAnsi"/>
      <w:lang w:eastAsia="en-US"/>
    </w:rPr>
  </w:style>
  <w:style w:type="paragraph" w:customStyle="1" w:styleId="D08EB06A5450417EB619A0D48AD3E3421">
    <w:name w:val="D08EB06A5450417EB619A0D48AD3E3421"/>
    <w:rsid w:val="00A64088"/>
    <w:rPr>
      <w:rFonts w:eastAsiaTheme="minorHAnsi"/>
      <w:lang w:eastAsia="en-US"/>
    </w:rPr>
  </w:style>
  <w:style w:type="paragraph" w:customStyle="1" w:styleId="26AB1AECD29841ECA314F397945AB5771">
    <w:name w:val="26AB1AECD29841ECA314F397945AB5771"/>
    <w:rsid w:val="00A64088"/>
    <w:rPr>
      <w:rFonts w:eastAsiaTheme="minorHAnsi"/>
      <w:lang w:eastAsia="en-US"/>
    </w:rPr>
  </w:style>
  <w:style w:type="paragraph" w:customStyle="1" w:styleId="CFC39AAC758A45D0815DB95FA4EE81141">
    <w:name w:val="CFC39AAC758A45D0815DB95FA4EE81141"/>
    <w:rsid w:val="00A64088"/>
    <w:rPr>
      <w:rFonts w:eastAsiaTheme="minorHAnsi"/>
      <w:lang w:eastAsia="en-US"/>
    </w:rPr>
  </w:style>
  <w:style w:type="paragraph" w:customStyle="1" w:styleId="27E39F802BB44D44AFA87EE531A8C60F1">
    <w:name w:val="27E39F802BB44D44AFA87EE531A8C60F1"/>
    <w:rsid w:val="00A64088"/>
    <w:rPr>
      <w:rFonts w:eastAsiaTheme="minorHAnsi"/>
      <w:lang w:eastAsia="en-US"/>
    </w:rPr>
  </w:style>
  <w:style w:type="paragraph" w:customStyle="1" w:styleId="C632D2C00E8A4FEF86DC958BE6C4E2922">
    <w:name w:val="C632D2C00E8A4FEF86DC958BE6C4E2922"/>
    <w:rsid w:val="00A64088"/>
    <w:rPr>
      <w:rFonts w:eastAsiaTheme="minorHAnsi"/>
      <w:lang w:eastAsia="en-US"/>
    </w:rPr>
  </w:style>
  <w:style w:type="paragraph" w:customStyle="1" w:styleId="78D271D2D1AB4F2C93874B38957585563">
    <w:name w:val="78D271D2D1AB4F2C93874B38957585563"/>
    <w:rsid w:val="00A64088"/>
    <w:rPr>
      <w:rFonts w:eastAsiaTheme="minorHAnsi"/>
      <w:lang w:eastAsia="en-US"/>
    </w:rPr>
  </w:style>
  <w:style w:type="paragraph" w:customStyle="1" w:styleId="36B178BD2D6242C1B262D5B7138CB8D63">
    <w:name w:val="36B178BD2D6242C1B262D5B7138CB8D63"/>
    <w:rsid w:val="00A64088"/>
    <w:rPr>
      <w:rFonts w:eastAsiaTheme="minorHAnsi"/>
      <w:lang w:eastAsia="en-US"/>
    </w:rPr>
  </w:style>
  <w:style w:type="paragraph" w:customStyle="1" w:styleId="CFE2503236D24D7B9F2A6D6AB38FBD53">
    <w:name w:val="CFE2503236D24D7B9F2A6D6AB38FBD53"/>
    <w:rsid w:val="00A64088"/>
    <w:rPr>
      <w:rFonts w:eastAsiaTheme="minorHAnsi"/>
      <w:lang w:eastAsia="en-US"/>
    </w:rPr>
  </w:style>
  <w:style w:type="paragraph" w:customStyle="1" w:styleId="CC8F254BF2C74D8B8D5CCDE48892821A">
    <w:name w:val="CC8F254BF2C74D8B8D5CCDE48892821A"/>
    <w:rsid w:val="00A64088"/>
    <w:rPr>
      <w:rFonts w:eastAsiaTheme="minorHAnsi"/>
      <w:lang w:eastAsia="en-US"/>
    </w:rPr>
  </w:style>
  <w:style w:type="paragraph" w:customStyle="1" w:styleId="D53529A2761744C390FF4B37298FA7C02">
    <w:name w:val="D53529A2761744C390FF4B37298FA7C02"/>
    <w:rsid w:val="00A64088"/>
    <w:rPr>
      <w:rFonts w:eastAsiaTheme="minorHAnsi"/>
      <w:lang w:eastAsia="en-US"/>
    </w:rPr>
  </w:style>
  <w:style w:type="paragraph" w:customStyle="1" w:styleId="E281FB3CDD6F44D79F06F6939335E1112">
    <w:name w:val="E281FB3CDD6F44D79F06F6939335E1112"/>
    <w:rsid w:val="00A64088"/>
    <w:rPr>
      <w:rFonts w:eastAsiaTheme="minorHAnsi"/>
      <w:lang w:eastAsia="en-US"/>
    </w:rPr>
  </w:style>
  <w:style w:type="paragraph" w:customStyle="1" w:styleId="E0B2D7D5510743928D6A6692B5DF24332">
    <w:name w:val="E0B2D7D5510743928D6A6692B5DF24332"/>
    <w:rsid w:val="00A64088"/>
    <w:rPr>
      <w:rFonts w:eastAsiaTheme="minorHAnsi"/>
      <w:lang w:eastAsia="en-US"/>
    </w:rPr>
  </w:style>
  <w:style w:type="paragraph" w:customStyle="1" w:styleId="95752A97B00848F7A34304F429C7B0682">
    <w:name w:val="95752A97B00848F7A34304F429C7B0682"/>
    <w:rsid w:val="00A64088"/>
    <w:rPr>
      <w:rFonts w:eastAsiaTheme="minorHAnsi"/>
      <w:lang w:eastAsia="en-US"/>
    </w:rPr>
  </w:style>
  <w:style w:type="paragraph" w:customStyle="1" w:styleId="D08EB06A5450417EB619A0D48AD3E3422">
    <w:name w:val="D08EB06A5450417EB619A0D48AD3E3422"/>
    <w:rsid w:val="00A64088"/>
    <w:rPr>
      <w:rFonts w:eastAsiaTheme="minorHAnsi"/>
      <w:lang w:eastAsia="en-US"/>
    </w:rPr>
  </w:style>
  <w:style w:type="paragraph" w:customStyle="1" w:styleId="26AB1AECD29841ECA314F397945AB5772">
    <w:name w:val="26AB1AECD29841ECA314F397945AB5772"/>
    <w:rsid w:val="00A64088"/>
    <w:rPr>
      <w:rFonts w:eastAsiaTheme="minorHAnsi"/>
      <w:lang w:eastAsia="en-US"/>
    </w:rPr>
  </w:style>
  <w:style w:type="paragraph" w:customStyle="1" w:styleId="CFC39AAC758A45D0815DB95FA4EE81142">
    <w:name w:val="CFC39AAC758A45D0815DB95FA4EE81142"/>
    <w:rsid w:val="00A64088"/>
    <w:rPr>
      <w:rFonts w:eastAsiaTheme="minorHAnsi"/>
      <w:lang w:eastAsia="en-US"/>
    </w:rPr>
  </w:style>
  <w:style w:type="paragraph" w:customStyle="1" w:styleId="27E39F802BB44D44AFA87EE531A8C60F2">
    <w:name w:val="27E39F802BB44D44AFA87EE531A8C60F2"/>
    <w:rsid w:val="00A64088"/>
    <w:rPr>
      <w:rFonts w:eastAsiaTheme="minorHAnsi"/>
      <w:lang w:eastAsia="en-US"/>
    </w:rPr>
  </w:style>
  <w:style w:type="paragraph" w:customStyle="1" w:styleId="C632D2C00E8A4FEF86DC958BE6C4E2923">
    <w:name w:val="C632D2C00E8A4FEF86DC958BE6C4E2923"/>
    <w:rsid w:val="00A64088"/>
    <w:rPr>
      <w:rFonts w:eastAsiaTheme="minorHAnsi"/>
      <w:lang w:eastAsia="en-US"/>
    </w:rPr>
  </w:style>
  <w:style w:type="paragraph" w:customStyle="1" w:styleId="78D271D2D1AB4F2C93874B38957585564">
    <w:name w:val="78D271D2D1AB4F2C93874B38957585564"/>
    <w:rsid w:val="00A64088"/>
    <w:rPr>
      <w:rFonts w:eastAsiaTheme="minorHAnsi"/>
      <w:lang w:eastAsia="en-US"/>
    </w:rPr>
  </w:style>
  <w:style w:type="paragraph" w:customStyle="1" w:styleId="36B178BD2D6242C1B262D5B7138CB8D64">
    <w:name w:val="36B178BD2D6242C1B262D5B7138CB8D64"/>
    <w:rsid w:val="00A64088"/>
    <w:rPr>
      <w:rFonts w:eastAsiaTheme="minorHAnsi"/>
      <w:lang w:eastAsia="en-US"/>
    </w:rPr>
  </w:style>
  <w:style w:type="paragraph" w:customStyle="1" w:styleId="CFE2503236D24D7B9F2A6D6AB38FBD531">
    <w:name w:val="CFE2503236D24D7B9F2A6D6AB38FBD531"/>
    <w:rsid w:val="00A64088"/>
    <w:rPr>
      <w:rFonts w:eastAsiaTheme="minorHAnsi"/>
      <w:lang w:eastAsia="en-US"/>
    </w:rPr>
  </w:style>
  <w:style w:type="paragraph" w:customStyle="1" w:styleId="CC8F254BF2C74D8B8D5CCDE48892821A1">
    <w:name w:val="CC8F254BF2C74D8B8D5CCDE48892821A1"/>
    <w:rsid w:val="00A64088"/>
    <w:rPr>
      <w:rFonts w:eastAsiaTheme="minorHAnsi"/>
      <w:lang w:eastAsia="en-US"/>
    </w:rPr>
  </w:style>
  <w:style w:type="paragraph" w:customStyle="1" w:styleId="D53529A2761744C390FF4B37298FA7C03">
    <w:name w:val="D53529A2761744C390FF4B37298FA7C03"/>
    <w:rsid w:val="00A64088"/>
    <w:rPr>
      <w:rFonts w:eastAsiaTheme="minorHAnsi"/>
      <w:lang w:eastAsia="en-US"/>
    </w:rPr>
  </w:style>
  <w:style w:type="paragraph" w:customStyle="1" w:styleId="E281FB3CDD6F44D79F06F6939335E1113">
    <w:name w:val="E281FB3CDD6F44D79F06F6939335E1113"/>
    <w:rsid w:val="00A64088"/>
    <w:rPr>
      <w:rFonts w:eastAsiaTheme="minorHAnsi"/>
      <w:lang w:eastAsia="en-US"/>
    </w:rPr>
  </w:style>
  <w:style w:type="paragraph" w:customStyle="1" w:styleId="E0B2D7D5510743928D6A6692B5DF24333">
    <w:name w:val="E0B2D7D5510743928D6A6692B5DF24333"/>
    <w:rsid w:val="00A64088"/>
    <w:rPr>
      <w:rFonts w:eastAsiaTheme="minorHAnsi"/>
      <w:lang w:eastAsia="en-US"/>
    </w:rPr>
  </w:style>
  <w:style w:type="paragraph" w:customStyle="1" w:styleId="95752A97B00848F7A34304F429C7B0683">
    <w:name w:val="95752A97B00848F7A34304F429C7B0683"/>
    <w:rsid w:val="00A64088"/>
    <w:rPr>
      <w:rFonts w:eastAsiaTheme="minorHAnsi"/>
      <w:lang w:eastAsia="en-US"/>
    </w:rPr>
  </w:style>
  <w:style w:type="paragraph" w:customStyle="1" w:styleId="D08EB06A5450417EB619A0D48AD3E3423">
    <w:name w:val="D08EB06A5450417EB619A0D48AD3E3423"/>
    <w:rsid w:val="00A64088"/>
    <w:rPr>
      <w:rFonts w:eastAsiaTheme="minorHAnsi"/>
      <w:lang w:eastAsia="en-US"/>
    </w:rPr>
  </w:style>
  <w:style w:type="paragraph" w:customStyle="1" w:styleId="26AB1AECD29841ECA314F397945AB5773">
    <w:name w:val="26AB1AECD29841ECA314F397945AB5773"/>
    <w:rsid w:val="00A64088"/>
    <w:rPr>
      <w:rFonts w:eastAsiaTheme="minorHAnsi"/>
      <w:lang w:eastAsia="en-US"/>
    </w:rPr>
  </w:style>
  <w:style w:type="paragraph" w:customStyle="1" w:styleId="CFC39AAC758A45D0815DB95FA4EE81143">
    <w:name w:val="CFC39AAC758A45D0815DB95FA4EE81143"/>
    <w:rsid w:val="00A64088"/>
    <w:rPr>
      <w:rFonts w:eastAsiaTheme="minorHAnsi"/>
      <w:lang w:eastAsia="en-US"/>
    </w:rPr>
  </w:style>
  <w:style w:type="paragraph" w:customStyle="1" w:styleId="27E39F802BB44D44AFA87EE531A8C60F3">
    <w:name w:val="27E39F802BB44D44AFA87EE531A8C60F3"/>
    <w:rsid w:val="00A64088"/>
    <w:rPr>
      <w:rFonts w:eastAsiaTheme="minorHAnsi"/>
      <w:lang w:eastAsia="en-US"/>
    </w:rPr>
  </w:style>
  <w:style w:type="paragraph" w:customStyle="1" w:styleId="C632D2C00E8A4FEF86DC958BE6C4E2924">
    <w:name w:val="C632D2C00E8A4FEF86DC958BE6C4E2924"/>
    <w:rsid w:val="00A64088"/>
    <w:rPr>
      <w:rFonts w:eastAsiaTheme="minorHAnsi"/>
      <w:lang w:eastAsia="en-US"/>
    </w:rPr>
  </w:style>
  <w:style w:type="paragraph" w:customStyle="1" w:styleId="78D271D2D1AB4F2C93874B38957585565">
    <w:name w:val="78D271D2D1AB4F2C93874B38957585565"/>
    <w:rsid w:val="00A64088"/>
    <w:rPr>
      <w:rFonts w:eastAsiaTheme="minorHAnsi"/>
      <w:lang w:eastAsia="en-US"/>
    </w:rPr>
  </w:style>
  <w:style w:type="paragraph" w:customStyle="1" w:styleId="36B178BD2D6242C1B262D5B7138CB8D65">
    <w:name w:val="36B178BD2D6242C1B262D5B7138CB8D65"/>
    <w:rsid w:val="00A64088"/>
    <w:rPr>
      <w:rFonts w:eastAsiaTheme="minorHAnsi"/>
      <w:lang w:eastAsia="en-US"/>
    </w:rPr>
  </w:style>
  <w:style w:type="paragraph" w:customStyle="1" w:styleId="CFE2503236D24D7B9F2A6D6AB38FBD532">
    <w:name w:val="CFE2503236D24D7B9F2A6D6AB38FBD532"/>
    <w:rsid w:val="00A64088"/>
    <w:rPr>
      <w:rFonts w:eastAsiaTheme="minorHAnsi"/>
      <w:lang w:eastAsia="en-US"/>
    </w:rPr>
  </w:style>
  <w:style w:type="paragraph" w:customStyle="1" w:styleId="CC8F254BF2C74D8B8D5CCDE48892821A2">
    <w:name w:val="CC8F254BF2C74D8B8D5CCDE48892821A2"/>
    <w:rsid w:val="00A64088"/>
    <w:rPr>
      <w:rFonts w:eastAsiaTheme="minorHAnsi"/>
      <w:lang w:eastAsia="en-US"/>
    </w:rPr>
  </w:style>
  <w:style w:type="paragraph" w:customStyle="1" w:styleId="D53529A2761744C390FF4B37298FA7C04">
    <w:name w:val="D53529A2761744C390FF4B37298FA7C04"/>
    <w:rsid w:val="00A64088"/>
    <w:rPr>
      <w:rFonts w:eastAsiaTheme="minorHAnsi"/>
      <w:lang w:eastAsia="en-US"/>
    </w:rPr>
  </w:style>
  <w:style w:type="paragraph" w:customStyle="1" w:styleId="E281FB3CDD6F44D79F06F6939335E1114">
    <w:name w:val="E281FB3CDD6F44D79F06F6939335E1114"/>
    <w:rsid w:val="00A64088"/>
    <w:rPr>
      <w:rFonts w:eastAsiaTheme="minorHAnsi"/>
      <w:lang w:eastAsia="en-US"/>
    </w:rPr>
  </w:style>
  <w:style w:type="paragraph" w:customStyle="1" w:styleId="E0B2D7D5510743928D6A6692B5DF24334">
    <w:name w:val="E0B2D7D5510743928D6A6692B5DF24334"/>
    <w:rsid w:val="00A64088"/>
    <w:rPr>
      <w:rFonts w:eastAsiaTheme="minorHAnsi"/>
      <w:lang w:eastAsia="en-US"/>
    </w:rPr>
  </w:style>
  <w:style w:type="paragraph" w:customStyle="1" w:styleId="95752A97B00848F7A34304F429C7B0684">
    <w:name w:val="95752A97B00848F7A34304F429C7B0684"/>
    <w:rsid w:val="00A64088"/>
    <w:rPr>
      <w:rFonts w:eastAsiaTheme="minorHAnsi"/>
      <w:lang w:eastAsia="en-US"/>
    </w:rPr>
  </w:style>
  <w:style w:type="paragraph" w:customStyle="1" w:styleId="D08EB06A5450417EB619A0D48AD3E3424">
    <w:name w:val="D08EB06A5450417EB619A0D48AD3E3424"/>
    <w:rsid w:val="00A64088"/>
    <w:rPr>
      <w:rFonts w:eastAsiaTheme="minorHAnsi"/>
      <w:lang w:eastAsia="en-US"/>
    </w:rPr>
  </w:style>
  <w:style w:type="paragraph" w:customStyle="1" w:styleId="26AB1AECD29841ECA314F397945AB5774">
    <w:name w:val="26AB1AECD29841ECA314F397945AB5774"/>
    <w:rsid w:val="00A64088"/>
    <w:rPr>
      <w:rFonts w:eastAsiaTheme="minorHAnsi"/>
      <w:lang w:eastAsia="en-US"/>
    </w:rPr>
  </w:style>
  <w:style w:type="paragraph" w:customStyle="1" w:styleId="CFC39AAC758A45D0815DB95FA4EE81144">
    <w:name w:val="CFC39AAC758A45D0815DB95FA4EE81144"/>
    <w:rsid w:val="00A64088"/>
    <w:rPr>
      <w:rFonts w:eastAsiaTheme="minorHAnsi"/>
      <w:lang w:eastAsia="en-US"/>
    </w:rPr>
  </w:style>
  <w:style w:type="paragraph" w:customStyle="1" w:styleId="27E39F802BB44D44AFA87EE531A8C60F4">
    <w:name w:val="27E39F802BB44D44AFA87EE531A8C60F4"/>
    <w:rsid w:val="00A64088"/>
    <w:rPr>
      <w:rFonts w:eastAsiaTheme="minorHAnsi"/>
      <w:lang w:eastAsia="en-US"/>
    </w:rPr>
  </w:style>
  <w:style w:type="paragraph" w:customStyle="1" w:styleId="C632D2C00E8A4FEF86DC958BE6C4E2925">
    <w:name w:val="C632D2C00E8A4FEF86DC958BE6C4E2925"/>
    <w:rsid w:val="00A64088"/>
    <w:rPr>
      <w:rFonts w:eastAsiaTheme="minorHAnsi"/>
      <w:lang w:eastAsia="en-US"/>
    </w:rPr>
  </w:style>
  <w:style w:type="paragraph" w:customStyle="1" w:styleId="78D271D2D1AB4F2C93874B38957585566">
    <w:name w:val="78D271D2D1AB4F2C93874B38957585566"/>
    <w:rsid w:val="00A64088"/>
    <w:rPr>
      <w:rFonts w:eastAsiaTheme="minorHAnsi"/>
      <w:lang w:eastAsia="en-US"/>
    </w:rPr>
  </w:style>
  <w:style w:type="paragraph" w:customStyle="1" w:styleId="36B178BD2D6242C1B262D5B7138CB8D66">
    <w:name w:val="36B178BD2D6242C1B262D5B7138CB8D66"/>
    <w:rsid w:val="00A64088"/>
    <w:rPr>
      <w:rFonts w:eastAsiaTheme="minorHAnsi"/>
      <w:lang w:eastAsia="en-US"/>
    </w:rPr>
  </w:style>
  <w:style w:type="paragraph" w:customStyle="1" w:styleId="CFE2503236D24D7B9F2A6D6AB38FBD533">
    <w:name w:val="CFE2503236D24D7B9F2A6D6AB38FBD533"/>
    <w:rsid w:val="00A64088"/>
    <w:rPr>
      <w:rFonts w:eastAsiaTheme="minorHAnsi"/>
      <w:lang w:eastAsia="en-US"/>
    </w:rPr>
  </w:style>
  <w:style w:type="paragraph" w:customStyle="1" w:styleId="CC8F254BF2C74D8B8D5CCDE48892821A3">
    <w:name w:val="CC8F254BF2C74D8B8D5CCDE48892821A3"/>
    <w:rsid w:val="00A64088"/>
    <w:rPr>
      <w:rFonts w:eastAsiaTheme="minorHAnsi"/>
      <w:lang w:eastAsia="en-US"/>
    </w:rPr>
  </w:style>
  <w:style w:type="paragraph" w:customStyle="1" w:styleId="D53529A2761744C390FF4B37298FA7C05">
    <w:name w:val="D53529A2761744C390FF4B37298FA7C05"/>
    <w:rsid w:val="00A64088"/>
    <w:rPr>
      <w:rFonts w:eastAsiaTheme="minorHAnsi"/>
      <w:lang w:eastAsia="en-US"/>
    </w:rPr>
  </w:style>
  <w:style w:type="paragraph" w:customStyle="1" w:styleId="E281FB3CDD6F44D79F06F6939335E1115">
    <w:name w:val="E281FB3CDD6F44D79F06F6939335E1115"/>
    <w:rsid w:val="00A64088"/>
    <w:rPr>
      <w:rFonts w:eastAsiaTheme="minorHAnsi"/>
      <w:lang w:eastAsia="en-US"/>
    </w:rPr>
  </w:style>
  <w:style w:type="paragraph" w:customStyle="1" w:styleId="E0B2D7D5510743928D6A6692B5DF24335">
    <w:name w:val="E0B2D7D5510743928D6A6692B5DF24335"/>
    <w:rsid w:val="00A64088"/>
    <w:rPr>
      <w:rFonts w:eastAsiaTheme="minorHAnsi"/>
      <w:lang w:eastAsia="en-US"/>
    </w:rPr>
  </w:style>
  <w:style w:type="paragraph" w:customStyle="1" w:styleId="95752A97B00848F7A34304F429C7B0685">
    <w:name w:val="95752A97B00848F7A34304F429C7B0685"/>
    <w:rsid w:val="00A64088"/>
    <w:rPr>
      <w:rFonts w:eastAsiaTheme="minorHAnsi"/>
      <w:lang w:eastAsia="en-US"/>
    </w:rPr>
  </w:style>
  <w:style w:type="paragraph" w:customStyle="1" w:styleId="D08EB06A5450417EB619A0D48AD3E3425">
    <w:name w:val="D08EB06A5450417EB619A0D48AD3E3425"/>
    <w:rsid w:val="00A64088"/>
    <w:rPr>
      <w:rFonts w:eastAsiaTheme="minorHAnsi"/>
      <w:lang w:eastAsia="en-US"/>
    </w:rPr>
  </w:style>
  <w:style w:type="paragraph" w:customStyle="1" w:styleId="26AB1AECD29841ECA314F397945AB5775">
    <w:name w:val="26AB1AECD29841ECA314F397945AB5775"/>
    <w:rsid w:val="00A64088"/>
    <w:rPr>
      <w:rFonts w:eastAsiaTheme="minorHAnsi"/>
      <w:lang w:eastAsia="en-US"/>
    </w:rPr>
  </w:style>
  <w:style w:type="paragraph" w:customStyle="1" w:styleId="CFC39AAC758A45D0815DB95FA4EE81145">
    <w:name w:val="CFC39AAC758A45D0815DB95FA4EE81145"/>
    <w:rsid w:val="00A64088"/>
    <w:rPr>
      <w:rFonts w:eastAsiaTheme="minorHAnsi"/>
      <w:lang w:eastAsia="en-US"/>
    </w:rPr>
  </w:style>
  <w:style w:type="paragraph" w:customStyle="1" w:styleId="27E39F802BB44D44AFA87EE531A8C60F5">
    <w:name w:val="27E39F802BB44D44AFA87EE531A8C60F5"/>
    <w:rsid w:val="00A64088"/>
    <w:rPr>
      <w:rFonts w:eastAsiaTheme="minorHAnsi"/>
      <w:lang w:eastAsia="en-US"/>
    </w:rPr>
  </w:style>
  <w:style w:type="paragraph" w:customStyle="1" w:styleId="13D26405BED74F21AE9D1B8700BA1117">
    <w:name w:val="13D26405BED74F21AE9D1B8700BA1117"/>
    <w:rsid w:val="00CA448E"/>
  </w:style>
  <w:style w:type="paragraph" w:customStyle="1" w:styleId="1D2D1A7B48AF4BC2B7122C15DC9B4832">
    <w:name w:val="1D2D1A7B48AF4BC2B7122C15DC9B4832"/>
    <w:rsid w:val="00CA448E"/>
  </w:style>
  <w:style w:type="paragraph" w:customStyle="1" w:styleId="37D06046418A47B98D9C787957D109D1">
    <w:name w:val="37D06046418A47B98D9C787957D109D1"/>
    <w:rsid w:val="00CA448E"/>
  </w:style>
  <w:style w:type="paragraph" w:customStyle="1" w:styleId="3A217B3238E24084937D994E05D64C60">
    <w:name w:val="3A217B3238E24084937D994E05D64C60"/>
    <w:rsid w:val="00CA448E"/>
  </w:style>
  <w:style w:type="paragraph" w:customStyle="1" w:styleId="27E39F802BB44D44AFA87EE531A8C60F6">
    <w:name w:val="27E39F802BB44D44AFA87EE531A8C60F6"/>
    <w:rsid w:val="00CA44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1767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2017-10-20T12:12:00Z</dcterms:created>
  <dcterms:modified xsi:type="dcterms:W3CDTF">2017-11-13T11:54:00Z</dcterms:modified>
</cp:coreProperties>
</file>